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2669CB" w14:textId="121D1133" w:rsidR="00DC5CA9" w:rsidRPr="00DA12F7" w:rsidRDefault="00DC5CA9" w:rsidP="00DC5CA9">
      <w:pPr>
        <w:tabs>
          <w:tab w:val="right" w:pos="9630"/>
        </w:tabs>
        <w:spacing w:after="0"/>
      </w:pPr>
      <w:r w:rsidRPr="00DA12F7">
        <w:rPr>
          <w:rFonts w:ascii="Arial" w:hAnsi="Arial" w:cs="Arial"/>
          <w:b/>
          <w:sz w:val="24"/>
        </w:rPr>
        <w:t>3GPP TSG RAN WG1 #</w:t>
      </w:r>
      <w:r w:rsidR="00712551">
        <w:rPr>
          <w:rFonts w:ascii="Arial" w:hAnsi="Arial" w:cs="Arial"/>
          <w:b/>
          <w:sz w:val="24"/>
        </w:rPr>
        <w:t>9</w:t>
      </w:r>
      <w:r w:rsidR="00130BA8">
        <w:rPr>
          <w:rFonts w:ascii="Arial" w:hAnsi="Arial" w:cs="Arial"/>
          <w:b/>
          <w:sz w:val="24"/>
        </w:rPr>
        <w:t>1</w:t>
      </w:r>
      <w:r w:rsidRPr="00DA12F7">
        <w:rPr>
          <w:rFonts w:ascii="Arial" w:hAnsi="Arial" w:cs="Arial"/>
          <w:b/>
          <w:sz w:val="24"/>
        </w:rPr>
        <w:tab/>
      </w:r>
      <w:r w:rsidR="009936F9" w:rsidRPr="009936F9">
        <w:rPr>
          <w:rFonts w:ascii="Arial" w:hAnsi="Arial" w:cs="Arial"/>
          <w:b/>
          <w:sz w:val="24"/>
        </w:rPr>
        <w:t>R1-1720393</w:t>
      </w:r>
    </w:p>
    <w:p w14:paraId="3CB584CF" w14:textId="45D92E44" w:rsidR="00DC5CA9" w:rsidRPr="00DA12F7" w:rsidRDefault="00130BA8" w:rsidP="00DC5CA9">
      <w:pPr>
        <w:tabs>
          <w:tab w:val="right" w:pos="9630"/>
        </w:tabs>
        <w:spacing w:after="0"/>
        <w:rPr>
          <w:rFonts w:ascii="Arial" w:hAnsi="Arial" w:cs="Arial"/>
          <w:b/>
          <w:sz w:val="24"/>
          <w:szCs w:val="24"/>
        </w:rPr>
      </w:pPr>
      <w:r>
        <w:rPr>
          <w:rFonts w:ascii="Arial" w:hAnsi="Arial" w:cs="Arial"/>
          <w:b/>
          <w:sz w:val="24"/>
          <w:szCs w:val="24"/>
        </w:rPr>
        <w:t>Nov. 27</w:t>
      </w:r>
      <w:r w:rsidRPr="00130BA8">
        <w:rPr>
          <w:rFonts w:ascii="Arial" w:hAnsi="Arial" w:cs="Arial"/>
          <w:b/>
          <w:sz w:val="24"/>
          <w:szCs w:val="24"/>
          <w:vertAlign w:val="superscript"/>
        </w:rPr>
        <w:t>th</w:t>
      </w:r>
      <w:r>
        <w:rPr>
          <w:rFonts w:ascii="Arial" w:hAnsi="Arial" w:cs="Arial"/>
          <w:b/>
          <w:sz w:val="24"/>
          <w:szCs w:val="24"/>
          <w:vertAlign w:val="superscript"/>
        </w:rPr>
        <w:t xml:space="preserve"> </w:t>
      </w:r>
      <w:r>
        <w:rPr>
          <w:rFonts w:ascii="Arial" w:hAnsi="Arial" w:cs="Arial"/>
          <w:b/>
          <w:sz w:val="24"/>
          <w:szCs w:val="24"/>
        </w:rPr>
        <w:t xml:space="preserve">– Dec. </w:t>
      </w:r>
      <w:r w:rsidR="00E44409">
        <w:rPr>
          <w:rFonts w:ascii="Arial" w:hAnsi="Arial" w:cs="Arial"/>
          <w:b/>
          <w:sz w:val="24"/>
          <w:szCs w:val="24"/>
        </w:rPr>
        <w:t>1</w:t>
      </w:r>
      <w:r w:rsidRPr="00130BA8">
        <w:rPr>
          <w:rFonts w:ascii="Arial" w:hAnsi="Arial" w:cs="Arial"/>
          <w:b/>
          <w:sz w:val="24"/>
          <w:szCs w:val="24"/>
          <w:vertAlign w:val="superscript"/>
        </w:rPr>
        <w:t>st</w:t>
      </w:r>
      <w:r w:rsidR="00DC5CA9" w:rsidRPr="00DA12F7">
        <w:rPr>
          <w:rFonts w:ascii="Arial" w:hAnsi="Arial" w:cs="Arial"/>
          <w:b/>
          <w:sz w:val="24"/>
          <w:szCs w:val="24"/>
        </w:rPr>
        <w:t>, 201</w:t>
      </w:r>
      <w:r w:rsidR="00F243AF">
        <w:rPr>
          <w:rFonts w:ascii="Arial" w:hAnsi="Arial" w:cs="Arial"/>
          <w:b/>
          <w:sz w:val="24"/>
          <w:szCs w:val="24"/>
        </w:rPr>
        <w:t>7</w:t>
      </w:r>
    </w:p>
    <w:p w14:paraId="1AB4E0E7" w14:textId="00C75A26" w:rsidR="00DC5CA9" w:rsidRPr="00DA12F7" w:rsidRDefault="00130BA8" w:rsidP="00DC5CA9">
      <w:pPr>
        <w:rPr>
          <w:rFonts w:ascii="Arial" w:hAnsi="Arial" w:cs="Arial"/>
          <w:b/>
          <w:sz w:val="24"/>
          <w:szCs w:val="24"/>
        </w:rPr>
      </w:pPr>
      <w:r>
        <w:rPr>
          <w:rFonts w:ascii="Arial" w:hAnsi="Arial" w:cs="Arial"/>
          <w:b/>
          <w:sz w:val="24"/>
          <w:szCs w:val="24"/>
        </w:rPr>
        <w:t>Reno, Nevada, U.S.A.</w:t>
      </w:r>
    </w:p>
    <w:p w14:paraId="49F194EA" w14:textId="77777777" w:rsidR="00E725B6" w:rsidRPr="00E624D8" w:rsidRDefault="00E725B6" w:rsidP="00E725B6">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53EAB8BD" w14:textId="2B6F9B28" w:rsidR="00E725B6" w:rsidRPr="00ED3068" w:rsidRDefault="00E725B6" w:rsidP="00E725B6">
      <w:pPr>
        <w:tabs>
          <w:tab w:val="left" w:pos="1985"/>
        </w:tabs>
        <w:rPr>
          <w:rFonts w:ascii="Arial" w:hAnsi="Arial"/>
          <w:color w:val="FF0000"/>
          <w:sz w:val="24"/>
        </w:rPr>
      </w:pPr>
      <w:r w:rsidRPr="00E624D8">
        <w:rPr>
          <w:rFonts w:ascii="Arial" w:hAnsi="Arial"/>
          <w:b/>
          <w:sz w:val="24"/>
        </w:rPr>
        <w:t>Agenda item:</w:t>
      </w:r>
      <w:bookmarkStart w:id="0" w:name="Source"/>
      <w:bookmarkEnd w:id="0"/>
      <w:r w:rsidR="006C7D80" w:rsidRPr="00E624D8">
        <w:rPr>
          <w:rFonts w:ascii="Arial" w:hAnsi="Arial"/>
          <w:sz w:val="24"/>
        </w:rPr>
        <w:tab/>
      </w:r>
      <w:r w:rsidR="00E44409">
        <w:rPr>
          <w:rFonts w:ascii="Arial" w:hAnsi="Arial"/>
          <w:sz w:val="24"/>
        </w:rPr>
        <w:t>6</w:t>
      </w:r>
      <w:r w:rsidR="00FD45CD" w:rsidRPr="00C14FE4">
        <w:rPr>
          <w:rFonts w:ascii="Arial" w:hAnsi="Arial"/>
          <w:sz w:val="24"/>
        </w:rPr>
        <w:t>.</w:t>
      </w:r>
      <w:r w:rsidR="00961BF6">
        <w:rPr>
          <w:rFonts w:ascii="Arial" w:hAnsi="Arial"/>
          <w:sz w:val="24"/>
        </w:rPr>
        <w:t>2</w:t>
      </w:r>
      <w:r w:rsidR="00FD45CD" w:rsidRPr="00C14FE4">
        <w:rPr>
          <w:rFonts w:ascii="Arial" w:hAnsi="Arial"/>
          <w:sz w:val="24"/>
        </w:rPr>
        <w:t>.</w:t>
      </w:r>
      <w:r w:rsidR="00301FF3">
        <w:rPr>
          <w:rFonts w:ascii="Arial" w:hAnsi="Arial"/>
          <w:sz w:val="24"/>
        </w:rPr>
        <w:t>1</w:t>
      </w:r>
      <w:r w:rsidR="00FA35AF">
        <w:rPr>
          <w:rFonts w:ascii="Arial" w:hAnsi="Arial"/>
          <w:sz w:val="24"/>
        </w:rPr>
        <w:t>.2</w:t>
      </w:r>
      <w:r w:rsidR="00116B51">
        <w:rPr>
          <w:rFonts w:ascii="Arial" w:hAnsi="Arial"/>
          <w:sz w:val="24"/>
        </w:rPr>
        <w:t>.</w:t>
      </w:r>
      <w:r w:rsidR="00F243AF">
        <w:rPr>
          <w:rFonts w:ascii="Arial" w:hAnsi="Arial"/>
          <w:sz w:val="24"/>
        </w:rPr>
        <w:t>1</w:t>
      </w:r>
    </w:p>
    <w:p w14:paraId="6EBDFB6E" w14:textId="77777777" w:rsidR="0068226B" w:rsidRPr="00CC27F5" w:rsidRDefault="0068226B" w:rsidP="00382B96">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802AC5">
        <w:rPr>
          <w:rFonts w:ascii="Arial" w:hAnsi="Arial"/>
          <w:sz w:val="24"/>
        </w:rPr>
        <w:t>Inc</w:t>
      </w:r>
      <w:r w:rsidR="00821167">
        <w:rPr>
          <w:rFonts w:ascii="Arial" w:hAnsi="Arial"/>
          <w:sz w:val="24"/>
        </w:rPr>
        <w:t>orporated</w:t>
      </w:r>
    </w:p>
    <w:p w14:paraId="0963A3D3" w14:textId="20B4D907" w:rsidR="0068226B" w:rsidRPr="0044166C" w:rsidRDefault="0068226B" w:rsidP="00382B96">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A86A31" w:rsidRPr="00A86A31">
        <w:rPr>
          <w:rFonts w:ascii="Arial" w:hAnsi="Arial"/>
          <w:sz w:val="22"/>
        </w:rPr>
        <w:t>Remaining aspects related to interaction between different TTI lengths</w:t>
      </w:r>
    </w:p>
    <w:p w14:paraId="49902DBA" w14:textId="77777777" w:rsidR="00FD4EEA" w:rsidRDefault="00FD4EEA" w:rsidP="00382B96">
      <w:pPr>
        <w:tabs>
          <w:tab w:val="left" w:pos="1985"/>
        </w:tabs>
        <w:ind w:right="-441"/>
        <w:rPr>
          <w:rFonts w:ascii="Arial" w:hAnsi="Arial"/>
          <w:b/>
          <w:sz w:val="24"/>
        </w:rPr>
      </w:pPr>
    </w:p>
    <w:p w14:paraId="4E9088AE" w14:textId="6FEBF12D"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sidR="00DA6B8E">
        <w:rPr>
          <w:rFonts w:ascii="Arial" w:hAnsi="Arial"/>
          <w:sz w:val="24"/>
        </w:rPr>
        <w:t xml:space="preserve"> and Decision</w:t>
      </w:r>
    </w:p>
    <w:p w14:paraId="19D84970" w14:textId="53E631D3" w:rsidR="00491EEE" w:rsidRDefault="00B209B5" w:rsidP="006F510F">
      <w:pPr>
        <w:pStyle w:val="Heading1"/>
        <w:numPr>
          <w:ilvl w:val="0"/>
          <w:numId w:val="15"/>
        </w:numPr>
      </w:pPr>
      <w:r w:rsidRPr="00CC27F5">
        <w:t>Introduction</w:t>
      </w:r>
    </w:p>
    <w:p w14:paraId="41124198" w14:textId="485B817D" w:rsidR="00E44409" w:rsidRDefault="00E44409" w:rsidP="00E44409">
      <w:pPr>
        <w:tabs>
          <w:tab w:val="right" w:pos="9630"/>
        </w:tabs>
        <w:spacing w:after="0"/>
      </w:pPr>
      <w:r>
        <w:rPr>
          <w:lang w:val="en-GB"/>
        </w:rPr>
        <w:t xml:space="preserve">This paper is a revised version of </w:t>
      </w:r>
      <w:r w:rsidRPr="00E44409">
        <w:rPr>
          <w:bCs/>
          <w:szCs w:val="16"/>
        </w:rPr>
        <w:t>R1-</w:t>
      </w:r>
      <w:r w:rsidR="00130BA8">
        <w:rPr>
          <w:bCs/>
          <w:szCs w:val="16"/>
        </w:rPr>
        <w:t>1718101</w:t>
      </w:r>
      <w:r>
        <w:t>.</w:t>
      </w:r>
    </w:p>
    <w:p w14:paraId="6A40D10C" w14:textId="7B41ED7B" w:rsidR="005F5B3F" w:rsidRDefault="005F5B3F" w:rsidP="005F5B3F">
      <w:pPr>
        <w:jc w:val="both"/>
      </w:pPr>
      <w:r>
        <w:t xml:space="preserve">The following agreements were made </w:t>
      </w:r>
      <w:r w:rsidR="00130BA8">
        <w:t>during the previous meetings</w:t>
      </w:r>
      <w:r>
        <w:t>:</w:t>
      </w:r>
    </w:p>
    <w:p w14:paraId="72870607" w14:textId="77777777" w:rsidR="005F5B3F" w:rsidRPr="005F5B3F" w:rsidRDefault="005F5B3F" w:rsidP="005F5B3F">
      <w:pPr>
        <w:rPr>
          <w:rFonts w:eastAsia="MS Mincho"/>
          <w:b/>
          <w:bCs/>
          <w:iCs/>
          <w:u w:val="single"/>
          <w:lang w:eastAsia="ja-JP"/>
        </w:rPr>
      </w:pPr>
      <w:r w:rsidRPr="005F5B3F">
        <w:rPr>
          <w:rFonts w:eastAsia="MS Mincho"/>
          <w:b/>
          <w:bCs/>
          <w:iCs/>
          <w:highlight w:val="green"/>
          <w:u w:val="single"/>
          <w:lang w:eastAsia="ja-JP"/>
        </w:rPr>
        <w:t>Agreement:</w:t>
      </w:r>
    </w:p>
    <w:p w14:paraId="40FF2D7C" w14:textId="77777777" w:rsidR="005F5B3F" w:rsidRPr="005F5B3F" w:rsidRDefault="005F5B3F" w:rsidP="005F5B3F">
      <w:pPr>
        <w:numPr>
          <w:ilvl w:val="0"/>
          <w:numId w:val="29"/>
        </w:numPr>
        <w:overflowPunct/>
        <w:autoSpaceDE/>
        <w:autoSpaceDN/>
        <w:adjustRightInd/>
        <w:spacing w:after="0"/>
        <w:textAlignment w:val="auto"/>
        <w:rPr>
          <w:rFonts w:eastAsia="MS Mincho"/>
          <w:i/>
          <w:lang w:eastAsia="ja-JP"/>
        </w:rPr>
      </w:pPr>
      <w:r w:rsidRPr="005F5B3F">
        <w:rPr>
          <w:rFonts w:eastAsia="MS Mincho"/>
          <w:i/>
          <w:lang w:eastAsia="ja-JP"/>
        </w:rPr>
        <w:t>In case of switching from 1ms PDSCH scheduled within TTIs n-W</w:t>
      </w:r>
      <w:r w:rsidRPr="005F5B3F">
        <w:rPr>
          <w:rFonts w:eastAsia="MS Mincho"/>
          <w:i/>
          <w:vertAlign w:val="subscript"/>
          <w:lang w:eastAsia="ja-JP"/>
        </w:rPr>
        <w:t>DL</w:t>
      </w:r>
      <w:r w:rsidRPr="005F5B3F">
        <w:rPr>
          <w:rFonts w:eastAsia="MS Mincho"/>
          <w:i/>
          <w:lang w:eastAsia="ja-JP"/>
        </w:rPr>
        <w:t xml:space="preserve"> to n-1(i.e. including all CCs) to an sPDSCH in TTI/subframe n (i.e. including all CCs):</w:t>
      </w:r>
    </w:p>
    <w:p w14:paraId="1880BA1A" w14:textId="77777777" w:rsidR="005F5B3F" w:rsidRPr="005F5B3F" w:rsidRDefault="005F5B3F" w:rsidP="005F5B3F">
      <w:pPr>
        <w:numPr>
          <w:ilvl w:val="1"/>
          <w:numId w:val="29"/>
        </w:numPr>
        <w:overflowPunct/>
        <w:autoSpaceDE/>
        <w:autoSpaceDN/>
        <w:adjustRightInd/>
        <w:spacing w:after="0"/>
        <w:textAlignment w:val="auto"/>
        <w:rPr>
          <w:rFonts w:eastAsia="MS Mincho"/>
          <w:i/>
          <w:lang w:eastAsia="ja-JP"/>
        </w:rPr>
      </w:pPr>
      <w:r w:rsidRPr="005F5B3F">
        <w:rPr>
          <w:rFonts w:eastAsia="MS Mincho"/>
          <w:i/>
          <w:lang w:eastAsia="ja-JP"/>
        </w:rPr>
        <w:t>Whether the UE skips processing PDSCH(s) is up to the UE implementation.</w:t>
      </w:r>
    </w:p>
    <w:p w14:paraId="1D7038EF" w14:textId="77777777" w:rsidR="005F5B3F" w:rsidRPr="005F5B3F" w:rsidRDefault="005F5B3F" w:rsidP="005F5B3F">
      <w:pPr>
        <w:numPr>
          <w:ilvl w:val="1"/>
          <w:numId w:val="28"/>
        </w:numPr>
        <w:overflowPunct/>
        <w:autoSpaceDE/>
        <w:autoSpaceDN/>
        <w:adjustRightInd/>
        <w:spacing w:after="0"/>
        <w:textAlignment w:val="auto"/>
        <w:rPr>
          <w:rFonts w:eastAsia="MS Mincho"/>
          <w:i/>
          <w:lang w:eastAsia="ja-JP"/>
        </w:rPr>
      </w:pPr>
      <w:r w:rsidRPr="005F5B3F">
        <w:rPr>
          <w:rFonts w:eastAsia="MS Mincho"/>
          <w:i/>
          <w:lang w:eastAsia="ja-JP"/>
        </w:rPr>
        <w:t>In case UE skips PDSCH processing, the legacy procedures are applied. If the UE skips decoding, the physical layer indicates to higher layers that the transport block(s) is not successfully decoded.</w:t>
      </w:r>
    </w:p>
    <w:p w14:paraId="7544F938" w14:textId="77777777" w:rsidR="005F5B3F" w:rsidRPr="005F5B3F" w:rsidRDefault="005F5B3F" w:rsidP="005F5B3F">
      <w:pPr>
        <w:numPr>
          <w:ilvl w:val="1"/>
          <w:numId w:val="28"/>
        </w:numPr>
        <w:overflowPunct/>
        <w:autoSpaceDE/>
        <w:autoSpaceDN/>
        <w:adjustRightInd/>
        <w:spacing w:after="0"/>
        <w:textAlignment w:val="auto"/>
        <w:rPr>
          <w:rFonts w:eastAsia="MS Mincho"/>
          <w:i/>
          <w:lang w:eastAsia="ja-JP"/>
        </w:rPr>
      </w:pPr>
      <w:r w:rsidRPr="005F5B3F">
        <w:rPr>
          <w:rFonts w:eastAsia="MS Mincho"/>
          <w:i/>
          <w:lang w:eastAsia="ja-JP"/>
        </w:rPr>
        <w:t>The value of W</w:t>
      </w:r>
      <w:r w:rsidRPr="005F5B3F">
        <w:rPr>
          <w:rFonts w:eastAsia="MS Mincho"/>
          <w:i/>
          <w:vertAlign w:val="subscript"/>
          <w:lang w:eastAsia="ja-JP"/>
        </w:rPr>
        <w:t>DL</w:t>
      </w:r>
      <w:r w:rsidRPr="005F5B3F">
        <w:rPr>
          <w:rFonts w:eastAsia="MS Mincho"/>
          <w:i/>
          <w:lang w:eastAsia="ja-JP"/>
        </w:rPr>
        <w:t xml:space="preserve"> is a UE capability with the value range of 0 to k-1, where k is the DL HARQ processing time. The UE indicates a separate capability per DL sTTI length.</w:t>
      </w:r>
    </w:p>
    <w:p w14:paraId="7219D5B9" w14:textId="77777777" w:rsidR="005F5B3F" w:rsidRPr="005F5B3F" w:rsidRDefault="005F5B3F" w:rsidP="005F5B3F">
      <w:pPr>
        <w:numPr>
          <w:ilvl w:val="1"/>
          <w:numId w:val="28"/>
        </w:numPr>
        <w:overflowPunct/>
        <w:autoSpaceDE/>
        <w:autoSpaceDN/>
        <w:adjustRightInd/>
        <w:spacing w:after="0"/>
        <w:textAlignment w:val="auto"/>
        <w:rPr>
          <w:rFonts w:eastAsia="MS Mincho"/>
          <w:i/>
          <w:lang w:eastAsia="ja-JP"/>
        </w:rPr>
      </w:pPr>
      <w:r w:rsidRPr="005F5B3F">
        <w:rPr>
          <w:rFonts w:eastAsia="MS Mincho"/>
          <w:i/>
          <w:lang w:eastAsia="ja-JP"/>
        </w:rPr>
        <w:t>The UE should attempt to skip the processing of as small number of PDSCH(s) as possible.</w:t>
      </w:r>
    </w:p>
    <w:p w14:paraId="64290820" w14:textId="77777777" w:rsidR="005F5B3F" w:rsidRPr="005F5B3F" w:rsidRDefault="005F5B3F" w:rsidP="005F5B3F">
      <w:pPr>
        <w:rPr>
          <w:rFonts w:eastAsia="MS Mincho"/>
          <w:i/>
          <w:lang w:eastAsia="ja-JP"/>
        </w:rPr>
      </w:pPr>
    </w:p>
    <w:p w14:paraId="15299F73" w14:textId="77777777" w:rsidR="005F5B3F" w:rsidRPr="005F5B3F" w:rsidRDefault="005F5B3F" w:rsidP="005F5B3F">
      <w:pPr>
        <w:numPr>
          <w:ilvl w:val="0"/>
          <w:numId w:val="29"/>
        </w:numPr>
        <w:overflowPunct/>
        <w:autoSpaceDE/>
        <w:autoSpaceDN/>
        <w:adjustRightInd/>
        <w:spacing w:after="0"/>
        <w:textAlignment w:val="auto"/>
        <w:rPr>
          <w:rFonts w:eastAsia="MS Mincho"/>
          <w:i/>
          <w:lang w:eastAsia="ja-JP"/>
        </w:rPr>
      </w:pPr>
      <w:r w:rsidRPr="005F5B3F">
        <w:rPr>
          <w:rFonts w:eastAsia="MS Mincho"/>
          <w:i/>
          <w:lang w:eastAsia="ja-JP"/>
        </w:rPr>
        <w:t>In case of switching from the reception of PUSCH grants within TTIs n-W</w:t>
      </w:r>
      <w:r w:rsidRPr="005F5B3F">
        <w:rPr>
          <w:rFonts w:eastAsia="MS Mincho"/>
          <w:i/>
          <w:vertAlign w:val="subscript"/>
          <w:lang w:eastAsia="ja-JP"/>
        </w:rPr>
        <w:t>UL</w:t>
      </w:r>
      <w:r w:rsidRPr="005F5B3F">
        <w:rPr>
          <w:rFonts w:eastAsia="MS Mincho"/>
          <w:i/>
          <w:lang w:eastAsia="ja-JP"/>
        </w:rPr>
        <w:t xml:space="preserve"> to n-1 (i.e. including all CCs) to the sPUSCH grant in TTI/subframe n (i.e. including all CCs):</w:t>
      </w:r>
    </w:p>
    <w:p w14:paraId="78D6C0DC" w14:textId="77777777" w:rsidR="005F5B3F" w:rsidRPr="005F5B3F" w:rsidRDefault="005F5B3F" w:rsidP="005F5B3F">
      <w:pPr>
        <w:numPr>
          <w:ilvl w:val="1"/>
          <w:numId w:val="29"/>
        </w:numPr>
        <w:overflowPunct/>
        <w:autoSpaceDE/>
        <w:autoSpaceDN/>
        <w:adjustRightInd/>
        <w:spacing w:after="0"/>
        <w:textAlignment w:val="auto"/>
        <w:rPr>
          <w:rFonts w:eastAsia="MS Mincho"/>
          <w:i/>
          <w:lang w:eastAsia="ja-JP"/>
        </w:rPr>
      </w:pPr>
      <w:r w:rsidRPr="005F5B3F">
        <w:rPr>
          <w:rFonts w:eastAsia="MS Mincho"/>
          <w:i/>
          <w:lang w:eastAsia="ja-JP"/>
        </w:rPr>
        <w:t xml:space="preserve">Whether the UE skips processing/transmission of PUSCH(s) is up to the UE implementation. </w:t>
      </w:r>
    </w:p>
    <w:p w14:paraId="61B1C011" w14:textId="77777777" w:rsidR="005F5B3F" w:rsidRPr="005F5B3F" w:rsidRDefault="005F5B3F" w:rsidP="005F5B3F">
      <w:pPr>
        <w:numPr>
          <w:ilvl w:val="1"/>
          <w:numId w:val="29"/>
        </w:numPr>
        <w:overflowPunct/>
        <w:autoSpaceDE/>
        <w:autoSpaceDN/>
        <w:adjustRightInd/>
        <w:spacing w:after="0"/>
        <w:textAlignment w:val="auto"/>
        <w:rPr>
          <w:rFonts w:eastAsia="MS Mincho"/>
          <w:i/>
          <w:lang w:eastAsia="ja-JP"/>
        </w:rPr>
      </w:pPr>
      <w:r w:rsidRPr="005F5B3F">
        <w:rPr>
          <w:rFonts w:eastAsia="MS Mincho"/>
          <w:i/>
          <w:lang w:eastAsia="ja-JP"/>
        </w:rPr>
        <w:t>As in case of eLAA procedures, also in case of skipping, the UE should request data from higher layers based on the issued PUSCH grant(s)</w:t>
      </w:r>
    </w:p>
    <w:p w14:paraId="7B2227A9" w14:textId="77777777" w:rsidR="005F5B3F" w:rsidRPr="005F5B3F" w:rsidRDefault="005F5B3F" w:rsidP="005F5B3F">
      <w:pPr>
        <w:numPr>
          <w:ilvl w:val="1"/>
          <w:numId w:val="29"/>
        </w:numPr>
        <w:overflowPunct/>
        <w:autoSpaceDE/>
        <w:autoSpaceDN/>
        <w:adjustRightInd/>
        <w:spacing w:after="0"/>
        <w:textAlignment w:val="auto"/>
        <w:rPr>
          <w:rFonts w:eastAsia="MS Mincho"/>
          <w:i/>
          <w:lang w:eastAsia="ja-JP"/>
        </w:rPr>
      </w:pPr>
      <w:r w:rsidRPr="005F5B3F">
        <w:rPr>
          <w:rFonts w:eastAsia="MS Mincho"/>
          <w:i/>
          <w:lang w:eastAsia="ja-JP"/>
        </w:rPr>
        <w:t>The value of W</w:t>
      </w:r>
      <w:r w:rsidRPr="005F5B3F">
        <w:rPr>
          <w:rFonts w:eastAsia="MS Mincho"/>
          <w:i/>
          <w:vertAlign w:val="subscript"/>
          <w:lang w:eastAsia="ja-JP"/>
        </w:rPr>
        <w:t>UL</w:t>
      </w:r>
      <w:r w:rsidRPr="005F5B3F">
        <w:rPr>
          <w:rFonts w:eastAsia="MS Mincho"/>
          <w:i/>
          <w:lang w:eastAsia="ja-JP"/>
        </w:rPr>
        <w:t xml:space="preserve"> is a UE capability with the value range of 0 to k-1, where k is the 1ms TTI UL scheduling time. The UE indicates a separate capability per UL sTTI length.</w:t>
      </w:r>
    </w:p>
    <w:p w14:paraId="68587647" w14:textId="3AADAC88" w:rsidR="005F5B3F" w:rsidRDefault="005F5B3F" w:rsidP="005F5B3F">
      <w:pPr>
        <w:numPr>
          <w:ilvl w:val="1"/>
          <w:numId w:val="29"/>
        </w:numPr>
        <w:overflowPunct/>
        <w:autoSpaceDE/>
        <w:autoSpaceDN/>
        <w:adjustRightInd/>
        <w:spacing w:after="0"/>
        <w:textAlignment w:val="auto"/>
        <w:rPr>
          <w:rFonts w:eastAsia="MS Mincho"/>
          <w:i/>
          <w:lang w:eastAsia="ja-JP"/>
        </w:rPr>
      </w:pPr>
      <w:r w:rsidRPr="005F5B3F">
        <w:rPr>
          <w:rFonts w:eastAsia="MS Mincho"/>
          <w:i/>
          <w:lang w:eastAsia="ja-JP"/>
        </w:rPr>
        <w:t>The UE should attempt to skip the processing/transmission of as small number of PUSCH(s) as possible.</w:t>
      </w:r>
    </w:p>
    <w:p w14:paraId="33C09F92" w14:textId="498D40D9" w:rsidR="00130BA8" w:rsidRDefault="00130BA8" w:rsidP="00130BA8">
      <w:pPr>
        <w:overflowPunct/>
        <w:autoSpaceDE/>
        <w:autoSpaceDN/>
        <w:adjustRightInd/>
        <w:spacing w:after="0"/>
        <w:textAlignment w:val="auto"/>
        <w:rPr>
          <w:rFonts w:eastAsia="MS Mincho"/>
          <w:i/>
          <w:lang w:eastAsia="ja-JP"/>
        </w:rPr>
      </w:pPr>
    </w:p>
    <w:p w14:paraId="5653373D" w14:textId="72C42371" w:rsidR="00130BA8" w:rsidRPr="00130BA8" w:rsidRDefault="00130BA8" w:rsidP="00130BA8">
      <w:pPr>
        <w:rPr>
          <w:rFonts w:eastAsia="MS Mincho"/>
          <w:b/>
          <w:bCs/>
          <w:iCs/>
          <w:u w:val="single"/>
          <w:lang w:eastAsia="ja-JP"/>
        </w:rPr>
      </w:pPr>
      <w:r w:rsidRPr="00130BA8">
        <w:rPr>
          <w:rFonts w:eastAsia="MS Mincho"/>
          <w:b/>
          <w:bCs/>
          <w:iCs/>
          <w:highlight w:val="green"/>
          <w:u w:val="single"/>
          <w:lang w:eastAsia="ja-JP"/>
        </w:rPr>
        <w:t>Agreement:</w:t>
      </w:r>
    </w:p>
    <w:p w14:paraId="34720533" w14:textId="4A7A7123" w:rsidR="00130BA8" w:rsidRPr="00130BA8" w:rsidRDefault="00130BA8" w:rsidP="00130BA8">
      <w:pPr>
        <w:pStyle w:val="ListParagraph"/>
        <w:numPr>
          <w:ilvl w:val="0"/>
          <w:numId w:val="34"/>
        </w:numPr>
        <w:rPr>
          <w:rFonts w:eastAsia="MS Mincho"/>
          <w:i/>
          <w:sz w:val="20"/>
          <w:szCs w:val="20"/>
          <w:lang w:eastAsia="ja-JP"/>
        </w:rPr>
      </w:pPr>
      <w:r w:rsidRPr="00130BA8">
        <w:rPr>
          <w:rFonts w:eastAsia="MS Mincho"/>
          <w:i/>
          <w:sz w:val="20"/>
          <w:szCs w:val="20"/>
          <w:lang w:eastAsia="ja-JP"/>
        </w:rPr>
        <w:t>Support HARQ process sharing between TTI and sTTI</w:t>
      </w:r>
    </w:p>
    <w:p w14:paraId="153E567D" w14:textId="77777777" w:rsidR="00130BA8" w:rsidRPr="00130BA8" w:rsidRDefault="00130BA8" w:rsidP="00130BA8">
      <w:pPr>
        <w:numPr>
          <w:ilvl w:val="0"/>
          <w:numId w:val="34"/>
        </w:numPr>
        <w:overflowPunct/>
        <w:autoSpaceDE/>
        <w:autoSpaceDN/>
        <w:adjustRightInd/>
        <w:spacing w:after="0"/>
        <w:textAlignment w:val="auto"/>
        <w:rPr>
          <w:rFonts w:eastAsia="MS Mincho"/>
          <w:i/>
          <w:lang w:eastAsia="ja-JP"/>
        </w:rPr>
      </w:pPr>
      <w:r w:rsidRPr="00130BA8">
        <w:rPr>
          <w:rFonts w:eastAsia="MS Mincho"/>
          <w:i/>
          <w:lang w:val="de-DE" w:eastAsia="ja-JP"/>
        </w:rPr>
        <w:t>The sharing is only possible for asynchronous HARQ processes, i.e. not supported for legacy processing time synchrounous UL HARQ processes</w:t>
      </w:r>
    </w:p>
    <w:p w14:paraId="1388AE8A" w14:textId="77777777" w:rsidR="00130BA8" w:rsidRPr="00130BA8" w:rsidRDefault="00130BA8" w:rsidP="00130BA8">
      <w:pPr>
        <w:numPr>
          <w:ilvl w:val="0"/>
          <w:numId w:val="34"/>
        </w:numPr>
        <w:overflowPunct/>
        <w:autoSpaceDE/>
        <w:autoSpaceDN/>
        <w:adjustRightInd/>
        <w:spacing w:after="0"/>
        <w:textAlignment w:val="auto"/>
        <w:rPr>
          <w:rFonts w:eastAsia="MS Mincho"/>
          <w:i/>
          <w:lang w:eastAsia="ja-JP"/>
        </w:rPr>
      </w:pPr>
      <w:r w:rsidRPr="00130BA8">
        <w:rPr>
          <w:rFonts w:eastAsia="MS Mincho"/>
          <w:i/>
          <w:lang w:eastAsia="ja-JP"/>
        </w:rPr>
        <w:t>If configured with sTTI on a CC:</w:t>
      </w:r>
    </w:p>
    <w:p w14:paraId="7D9C8F4A" w14:textId="77777777" w:rsidR="00130BA8" w:rsidRPr="00130BA8" w:rsidRDefault="00130BA8" w:rsidP="00130BA8">
      <w:pPr>
        <w:numPr>
          <w:ilvl w:val="1"/>
          <w:numId w:val="34"/>
        </w:numPr>
        <w:overflowPunct/>
        <w:autoSpaceDE/>
        <w:autoSpaceDN/>
        <w:adjustRightInd/>
        <w:spacing w:after="0"/>
        <w:textAlignment w:val="auto"/>
        <w:rPr>
          <w:rFonts w:eastAsia="MS Mincho"/>
          <w:i/>
          <w:lang w:eastAsia="ja-JP"/>
        </w:rPr>
      </w:pPr>
      <w:r w:rsidRPr="00130BA8">
        <w:rPr>
          <w:rFonts w:eastAsia="MS Mincho"/>
          <w:i/>
          <w:lang w:eastAsia="ja-JP"/>
        </w:rPr>
        <w:t xml:space="preserve">the HARQ ID field size in the DL assignments of PDSCH on USS for legacy and reduced processing time is the same as for sPDSCH assignments </w:t>
      </w:r>
    </w:p>
    <w:p w14:paraId="7A31FBB2" w14:textId="77777777" w:rsidR="00130BA8" w:rsidRPr="00130BA8" w:rsidRDefault="00130BA8" w:rsidP="00130BA8">
      <w:pPr>
        <w:numPr>
          <w:ilvl w:val="1"/>
          <w:numId w:val="34"/>
        </w:numPr>
        <w:overflowPunct/>
        <w:autoSpaceDE/>
        <w:autoSpaceDN/>
        <w:adjustRightInd/>
        <w:spacing w:after="0"/>
        <w:textAlignment w:val="auto"/>
        <w:rPr>
          <w:rFonts w:eastAsia="MS Mincho"/>
          <w:i/>
          <w:lang w:eastAsia="ja-JP"/>
        </w:rPr>
      </w:pPr>
      <w:r w:rsidRPr="00130BA8">
        <w:rPr>
          <w:rFonts w:eastAsia="MS Mincho"/>
          <w:i/>
          <w:lang w:eastAsia="ja-JP"/>
        </w:rPr>
        <w:t>the HARQ ID field size in the UL grants on USS for reduced processing time is the same as for sPUSCH grants</w:t>
      </w:r>
    </w:p>
    <w:p w14:paraId="6A91D891" w14:textId="77777777" w:rsidR="00130BA8" w:rsidRPr="00130BA8" w:rsidRDefault="00130BA8" w:rsidP="00130BA8">
      <w:pPr>
        <w:numPr>
          <w:ilvl w:val="0"/>
          <w:numId w:val="34"/>
        </w:numPr>
        <w:overflowPunct/>
        <w:autoSpaceDE/>
        <w:autoSpaceDN/>
        <w:adjustRightInd/>
        <w:spacing w:after="0"/>
        <w:textAlignment w:val="auto"/>
        <w:rPr>
          <w:rFonts w:eastAsia="MS Mincho"/>
          <w:i/>
          <w:lang w:eastAsia="ja-JP"/>
        </w:rPr>
      </w:pPr>
      <w:r w:rsidRPr="00130BA8">
        <w:rPr>
          <w:rFonts w:eastAsia="MS Mincho"/>
          <w:i/>
          <w:lang w:val="de-DE" w:eastAsia="ja-JP"/>
        </w:rPr>
        <w:t>The re-transmission of a TB with another (s)TTI length is possible if:</w:t>
      </w:r>
    </w:p>
    <w:p w14:paraId="782E2B15" w14:textId="77777777" w:rsidR="00130BA8" w:rsidRPr="00130BA8" w:rsidRDefault="00130BA8" w:rsidP="00130BA8">
      <w:pPr>
        <w:numPr>
          <w:ilvl w:val="1"/>
          <w:numId w:val="34"/>
        </w:numPr>
        <w:overflowPunct/>
        <w:autoSpaceDE/>
        <w:autoSpaceDN/>
        <w:adjustRightInd/>
        <w:spacing w:after="0"/>
        <w:textAlignment w:val="auto"/>
        <w:rPr>
          <w:rFonts w:eastAsia="MS Mincho"/>
          <w:i/>
          <w:lang w:eastAsia="ja-JP"/>
        </w:rPr>
      </w:pPr>
      <w:r w:rsidRPr="00130BA8">
        <w:rPr>
          <w:rFonts w:eastAsia="MS Mincho"/>
          <w:i/>
          <w:lang w:val="de-DE" w:eastAsia="ja-JP"/>
        </w:rPr>
        <w:t>The number of codewords of the HARQ process is not larger than supported by the respective sTTI length</w:t>
      </w:r>
    </w:p>
    <w:p w14:paraId="1E37C0DD" w14:textId="77777777" w:rsidR="00130BA8" w:rsidRPr="00130BA8" w:rsidRDefault="00130BA8" w:rsidP="00130BA8">
      <w:pPr>
        <w:numPr>
          <w:ilvl w:val="1"/>
          <w:numId w:val="34"/>
        </w:numPr>
        <w:overflowPunct/>
        <w:autoSpaceDE/>
        <w:autoSpaceDN/>
        <w:adjustRightInd/>
        <w:spacing w:after="0"/>
        <w:textAlignment w:val="auto"/>
        <w:rPr>
          <w:rFonts w:eastAsia="MS Mincho"/>
          <w:i/>
          <w:lang w:eastAsia="ja-JP"/>
        </w:rPr>
      </w:pPr>
      <w:r w:rsidRPr="00130BA8">
        <w:rPr>
          <w:rFonts w:eastAsia="MS Mincho"/>
          <w:i/>
          <w:lang w:val="de-DE" w:eastAsia="ja-JP"/>
        </w:rPr>
        <w:t>The TB size of a codeword is not larger than X. X is FFS and may be sTTI length dependent.</w:t>
      </w:r>
    </w:p>
    <w:p w14:paraId="4AFDB333" w14:textId="5BEE980E" w:rsidR="00130BA8" w:rsidRPr="00130BA8" w:rsidRDefault="00130BA8" w:rsidP="00130BA8">
      <w:pPr>
        <w:pStyle w:val="ListParagraph"/>
        <w:numPr>
          <w:ilvl w:val="0"/>
          <w:numId w:val="34"/>
        </w:numPr>
        <w:rPr>
          <w:rFonts w:eastAsia="MS Mincho"/>
          <w:i/>
          <w:sz w:val="20"/>
          <w:szCs w:val="20"/>
          <w:lang w:eastAsia="ja-JP"/>
        </w:rPr>
      </w:pPr>
      <w:r w:rsidRPr="00130BA8">
        <w:rPr>
          <w:rFonts w:eastAsia="MS Mincho"/>
          <w:i/>
          <w:sz w:val="20"/>
          <w:szCs w:val="20"/>
          <w:lang w:val="de-DE" w:eastAsia="ja-JP"/>
        </w:rPr>
        <w:t>FFS other restrictions</w:t>
      </w:r>
    </w:p>
    <w:p w14:paraId="6ECA4388" w14:textId="4B1CB1AB" w:rsidR="00D90176" w:rsidRPr="000A685B" w:rsidRDefault="005F5B3F" w:rsidP="00130BA8">
      <w:pPr>
        <w:jc w:val="both"/>
      </w:pPr>
      <w:r>
        <w:br/>
        <w:t xml:space="preserve">This paper presents some more </w:t>
      </w:r>
      <w:r w:rsidR="000A685B">
        <w:t>details related to the above agreement</w:t>
      </w:r>
      <w:r w:rsidR="00130BA8">
        <w:t>s</w:t>
      </w:r>
      <w:r>
        <w:t>.</w:t>
      </w:r>
      <w:bookmarkStart w:id="2" w:name="prop_e"/>
      <w:r w:rsidR="00130BA8">
        <w:t xml:space="preserve"> </w:t>
      </w:r>
    </w:p>
    <w:p w14:paraId="29DA4486" w14:textId="3F209727" w:rsidR="003A5C0E" w:rsidRDefault="000A685B" w:rsidP="00C22876">
      <w:pPr>
        <w:pStyle w:val="Heading1"/>
        <w:jc w:val="both"/>
        <w:rPr>
          <w:lang w:val="en-US"/>
        </w:rPr>
      </w:pPr>
      <w:r>
        <w:lastRenderedPageBreak/>
        <w:t>2</w:t>
      </w:r>
      <w:r w:rsidR="003A5C0E" w:rsidRPr="00CC27F5">
        <w:tab/>
      </w:r>
      <w:r w:rsidR="00C22876" w:rsidRPr="00C22876">
        <w:rPr>
          <w:lang w:val="en-US"/>
        </w:rPr>
        <w:t>Dynamic Scheduling of 1ms TTI and sTTI</w:t>
      </w:r>
    </w:p>
    <w:p w14:paraId="7E2F653F" w14:textId="2D8459BE" w:rsidR="00B45180" w:rsidRDefault="005F5B3F" w:rsidP="005F5B3F">
      <w:pPr>
        <w:jc w:val="both"/>
        <w:rPr>
          <w:bCs/>
          <w:iCs/>
        </w:rPr>
      </w:pPr>
      <w:r w:rsidRPr="005F5B3F">
        <w:rPr>
          <w:bCs/>
          <w:iCs/>
        </w:rPr>
        <w:t>The agreement made in RAN1#90 tackles the issue of dynamic switching from the 1ms TTI to an sTTI only. However, it is agreed that a UE can be configured with the 2-symbol sTTI and 1-slot sTTI in the DL across two PUCCH groups. Likewise, simultaneous transmission of the 2-symbol and 1-slot sTTIs may be supported in the UL and across different PUCCH groups.</w:t>
      </w:r>
      <w:r>
        <w:rPr>
          <w:bCs/>
          <w:iCs/>
        </w:rPr>
        <w:t xml:space="preserve"> Hence, in general, the previous agreement should be extended to address the dynamic switching from a longer TTI to a shorter TTI in both DL and UL.</w:t>
      </w:r>
    </w:p>
    <w:p w14:paraId="38F71E77" w14:textId="77777777" w:rsidR="005F5B3F" w:rsidRPr="005F5B3F" w:rsidRDefault="005F5B3F" w:rsidP="000D5362">
      <w:pPr>
        <w:overflowPunct/>
        <w:autoSpaceDE/>
        <w:autoSpaceDN/>
        <w:adjustRightInd/>
        <w:spacing w:after="0"/>
        <w:jc w:val="both"/>
        <w:textAlignment w:val="auto"/>
        <w:rPr>
          <w:b/>
          <w:iCs/>
        </w:rPr>
      </w:pPr>
      <w:r w:rsidRPr="005F5B3F">
        <w:rPr>
          <w:b/>
          <w:iCs/>
        </w:rPr>
        <w:t xml:space="preserve">Proposal 1: </w:t>
      </w:r>
    </w:p>
    <w:p w14:paraId="38F03973" w14:textId="30B43F16" w:rsidR="005F5B3F" w:rsidRPr="005F5B3F" w:rsidRDefault="005F5B3F" w:rsidP="000D5362">
      <w:pPr>
        <w:pStyle w:val="ListParagraph"/>
        <w:numPr>
          <w:ilvl w:val="0"/>
          <w:numId w:val="32"/>
        </w:numPr>
        <w:jc w:val="both"/>
        <w:rPr>
          <w:rFonts w:eastAsia="MS Mincho"/>
          <w:b/>
          <w:iCs/>
          <w:sz w:val="20"/>
          <w:szCs w:val="20"/>
          <w:lang w:eastAsia="ja-JP"/>
        </w:rPr>
      </w:pPr>
      <w:r w:rsidRPr="005F5B3F">
        <w:rPr>
          <w:rFonts w:eastAsia="MS Mincho"/>
          <w:b/>
          <w:iCs/>
          <w:sz w:val="20"/>
          <w:szCs w:val="20"/>
          <w:lang w:eastAsia="ja-JP"/>
        </w:rPr>
        <w:t xml:space="preserve">In case of switching from </w:t>
      </w:r>
      <w:r>
        <w:rPr>
          <w:rFonts w:eastAsia="MS Mincho"/>
          <w:b/>
          <w:iCs/>
          <w:sz w:val="20"/>
          <w:szCs w:val="20"/>
          <w:lang w:eastAsia="ja-JP"/>
        </w:rPr>
        <w:t>1-slot</w:t>
      </w:r>
      <w:r w:rsidRPr="005F5B3F">
        <w:rPr>
          <w:rFonts w:eastAsia="MS Mincho"/>
          <w:b/>
          <w:iCs/>
          <w:sz w:val="20"/>
          <w:szCs w:val="20"/>
          <w:lang w:eastAsia="ja-JP"/>
        </w:rPr>
        <w:t xml:space="preserve"> PDSCH scheduled within </w:t>
      </w:r>
      <w:r>
        <w:rPr>
          <w:rFonts w:eastAsia="MS Mincho"/>
          <w:b/>
          <w:iCs/>
          <w:sz w:val="20"/>
          <w:szCs w:val="20"/>
          <w:lang w:eastAsia="ja-JP"/>
        </w:rPr>
        <w:t>s</w:t>
      </w:r>
      <w:r w:rsidRPr="005F5B3F">
        <w:rPr>
          <w:rFonts w:eastAsia="MS Mincho"/>
          <w:b/>
          <w:iCs/>
          <w:sz w:val="20"/>
          <w:szCs w:val="20"/>
          <w:lang w:eastAsia="ja-JP"/>
        </w:rPr>
        <w:t>TTIs n-W</w:t>
      </w:r>
      <w:r w:rsidRPr="005F5B3F">
        <w:rPr>
          <w:rFonts w:eastAsia="MS Mincho"/>
          <w:b/>
          <w:iCs/>
          <w:sz w:val="20"/>
          <w:szCs w:val="20"/>
          <w:vertAlign w:val="subscript"/>
          <w:lang w:eastAsia="ja-JP"/>
        </w:rPr>
        <w:t>DL</w:t>
      </w:r>
      <w:r w:rsidRPr="005F5B3F">
        <w:rPr>
          <w:rFonts w:eastAsia="MS Mincho"/>
          <w:b/>
          <w:iCs/>
          <w:sz w:val="20"/>
          <w:szCs w:val="20"/>
          <w:lang w:eastAsia="ja-JP"/>
        </w:rPr>
        <w:t xml:space="preserve"> to n-1</w:t>
      </w:r>
      <w:r>
        <w:rPr>
          <w:rFonts w:eastAsia="MS Mincho"/>
          <w:b/>
          <w:iCs/>
          <w:sz w:val="20"/>
          <w:szCs w:val="20"/>
          <w:lang w:eastAsia="ja-JP"/>
        </w:rPr>
        <w:t xml:space="preserve"> </w:t>
      </w:r>
      <w:r w:rsidRPr="005F5B3F">
        <w:rPr>
          <w:rFonts w:eastAsia="MS Mincho"/>
          <w:b/>
          <w:iCs/>
          <w:sz w:val="20"/>
          <w:szCs w:val="20"/>
          <w:lang w:eastAsia="ja-JP"/>
        </w:rPr>
        <w:t>(i.e. including all CCs) to a</w:t>
      </w:r>
      <w:r>
        <w:rPr>
          <w:rFonts w:eastAsia="MS Mincho"/>
          <w:b/>
          <w:iCs/>
          <w:sz w:val="20"/>
          <w:szCs w:val="20"/>
          <w:lang w:eastAsia="ja-JP"/>
        </w:rPr>
        <w:t xml:space="preserve"> 2-symbol</w:t>
      </w:r>
      <w:r w:rsidRPr="005F5B3F">
        <w:rPr>
          <w:rFonts w:eastAsia="MS Mincho"/>
          <w:b/>
          <w:i/>
          <w:sz w:val="20"/>
          <w:szCs w:val="20"/>
          <w:lang w:eastAsia="ja-JP"/>
        </w:rPr>
        <w:t xml:space="preserve"> </w:t>
      </w:r>
      <w:r w:rsidRPr="005F5B3F">
        <w:rPr>
          <w:rFonts w:eastAsia="MS Mincho"/>
          <w:b/>
          <w:iCs/>
          <w:sz w:val="20"/>
          <w:szCs w:val="20"/>
          <w:lang w:eastAsia="ja-JP"/>
        </w:rPr>
        <w:t xml:space="preserve">sPDSCH in </w:t>
      </w:r>
      <w:r w:rsidR="000D5362">
        <w:rPr>
          <w:rFonts w:eastAsia="MS Mincho"/>
          <w:b/>
          <w:iCs/>
          <w:sz w:val="20"/>
          <w:szCs w:val="20"/>
          <w:lang w:eastAsia="ja-JP"/>
        </w:rPr>
        <w:t>s</w:t>
      </w:r>
      <w:r w:rsidRPr="005F5B3F">
        <w:rPr>
          <w:rFonts w:eastAsia="MS Mincho"/>
          <w:b/>
          <w:iCs/>
          <w:sz w:val="20"/>
          <w:szCs w:val="20"/>
          <w:lang w:eastAsia="ja-JP"/>
        </w:rPr>
        <w:t>TTI/</w:t>
      </w:r>
      <w:r>
        <w:rPr>
          <w:rFonts w:eastAsia="MS Mincho"/>
          <w:b/>
          <w:iCs/>
          <w:sz w:val="20"/>
          <w:szCs w:val="20"/>
          <w:lang w:eastAsia="ja-JP"/>
        </w:rPr>
        <w:t>slot</w:t>
      </w:r>
      <w:r w:rsidRPr="005F5B3F">
        <w:rPr>
          <w:rFonts w:eastAsia="MS Mincho"/>
          <w:b/>
          <w:iCs/>
          <w:sz w:val="20"/>
          <w:szCs w:val="20"/>
          <w:lang w:eastAsia="ja-JP"/>
        </w:rPr>
        <w:t xml:space="preserve"> n (i.e. including all CCs):</w:t>
      </w:r>
    </w:p>
    <w:p w14:paraId="72D8B93B" w14:textId="5C52E094" w:rsidR="005F5B3F" w:rsidRPr="005F5B3F" w:rsidRDefault="005F5B3F" w:rsidP="000D5362">
      <w:pPr>
        <w:pStyle w:val="ListParagraph"/>
        <w:numPr>
          <w:ilvl w:val="1"/>
          <w:numId w:val="32"/>
        </w:numPr>
        <w:jc w:val="both"/>
        <w:rPr>
          <w:rFonts w:eastAsia="MS Mincho"/>
          <w:b/>
          <w:iCs/>
          <w:sz w:val="20"/>
          <w:szCs w:val="20"/>
          <w:lang w:eastAsia="ja-JP"/>
        </w:rPr>
      </w:pPr>
      <w:r w:rsidRPr="005F5B3F">
        <w:rPr>
          <w:rFonts w:eastAsia="MS Mincho"/>
          <w:b/>
          <w:iCs/>
          <w:sz w:val="20"/>
          <w:szCs w:val="20"/>
          <w:lang w:eastAsia="ja-JP"/>
        </w:rPr>
        <w:t xml:space="preserve">Whether the UE skips processing </w:t>
      </w:r>
      <w:r w:rsidR="000D5362">
        <w:rPr>
          <w:rFonts w:eastAsia="MS Mincho"/>
          <w:b/>
          <w:iCs/>
          <w:sz w:val="20"/>
          <w:szCs w:val="20"/>
          <w:lang w:eastAsia="ja-JP"/>
        </w:rPr>
        <w:t>1-slot s</w:t>
      </w:r>
      <w:r w:rsidRPr="005F5B3F">
        <w:rPr>
          <w:rFonts w:eastAsia="MS Mincho"/>
          <w:b/>
          <w:iCs/>
          <w:sz w:val="20"/>
          <w:szCs w:val="20"/>
          <w:lang w:eastAsia="ja-JP"/>
        </w:rPr>
        <w:t>PDSCH(s) is up to the UE implementation.</w:t>
      </w:r>
    </w:p>
    <w:p w14:paraId="7F46FF12" w14:textId="301BDD6F" w:rsidR="005F5B3F" w:rsidRPr="005F5B3F" w:rsidRDefault="005F5B3F" w:rsidP="000D5362">
      <w:pPr>
        <w:pStyle w:val="ListParagraph"/>
        <w:numPr>
          <w:ilvl w:val="1"/>
          <w:numId w:val="32"/>
        </w:numPr>
        <w:jc w:val="both"/>
        <w:rPr>
          <w:rFonts w:eastAsia="MS Mincho"/>
          <w:b/>
          <w:iCs/>
          <w:sz w:val="20"/>
          <w:szCs w:val="20"/>
          <w:lang w:eastAsia="ja-JP"/>
        </w:rPr>
      </w:pPr>
      <w:r w:rsidRPr="005F5B3F">
        <w:rPr>
          <w:rFonts w:eastAsia="MS Mincho"/>
          <w:b/>
          <w:iCs/>
          <w:sz w:val="20"/>
          <w:szCs w:val="20"/>
          <w:lang w:eastAsia="ja-JP"/>
        </w:rPr>
        <w:t xml:space="preserve">In case UE skips </w:t>
      </w:r>
      <w:r w:rsidR="000D5362">
        <w:rPr>
          <w:rFonts w:eastAsia="MS Mincho"/>
          <w:b/>
          <w:iCs/>
          <w:sz w:val="20"/>
          <w:szCs w:val="20"/>
          <w:lang w:eastAsia="ja-JP"/>
        </w:rPr>
        <w:t>1-slot s</w:t>
      </w:r>
      <w:r w:rsidRPr="005F5B3F">
        <w:rPr>
          <w:rFonts w:eastAsia="MS Mincho"/>
          <w:b/>
          <w:iCs/>
          <w:sz w:val="20"/>
          <w:szCs w:val="20"/>
          <w:lang w:eastAsia="ja-JP"/>
        </w:rPr>
        <w:t>PDSCH processing, the legacy procedures are applied. If the UE skips decoding, the physical layer indicates to higher layers that the transport block(s) is not successfully decoded.</w:t>
      </w:r>
    </w:p>
    <w:p w14:paraId="61B45271" w14:textId="765DE009" w:rsidR="005F5B3F" w:rsidRPr="005F5B3F" w:rsidRDefault="005F5B3F" w:rsidP="000D5362">
      <w:pPr>
        <w:pStyle w:val="ListParagraph"/>
        <w:numPr>
          <w:ilvl w:val="1"/>
          <w:numId w:val="32"/>
        </w:numPr>
        <w:jc w:val="both"/>
        <w:rPr>
          <w:rFonts w:eastAsia="MS Mincho"/>
          <w:b/>
          <w:iCs/>
          <w:sz w:val="20"/>
          <w:szCs w:val="20"/>
          <w:lang w:eastAsia="ja-JP"/>
        </w:rPr>
      </w:pPr>
      <w:r w:rsidRPr="005F5B3F">
        <w:rPr>
          <w:rFonts w:eastAsia="MS Mincho"/>
          <w:b/>
          <w:iCs/>
          <w:sz w:val="20"/>
          <w:szCs w:val="20"/>
          <w:lang w:eastAsia="ja-JP"/>
        </w:rPr>
        <w:t>The value of W</w:t>
      </w:r>
      <w:r w:rsidRPr="005F5B3F">
        <w:rPr>
          <w:rFonts w:eastAsia="MS Mincho"/>
          <w:b/>
          <w:iCs/>
          <w:sz w:val="20"/>
          <w:szCs w:val="20"/>
          <w:vertAlign w:val="subscript"/>
          <w:lang w:eastAsia="ja-JP"/>
        </w:rPr>
        <w:t>DL</w:t>
      </w:r>
      <w:r w:rsidRPr="005F5B3F">
        <w:rPr>
          <w:rFonts w:eastAsia="MS Mincho"/>
          <w:b/>
          <w:iCs/>
          <w:sz w:val="20"/>
          <w:szCs w:val="20"/>
          <w:lang w:eastAsia="ja-JP"/>
        </w:rPr>
        <w:t xml:space="preserve"> is a UE capability with the value range of 0 to k-1, where k is the DL HARQ processing time</w:t>
      </w:r>
      <w:r w:rsidR="000D5362">
        <w:rPr>
          <w:rFonts w:eastAsia="MS Mincho"/>
          <w:b/>
          <w:iCs/>
          <w:sz w:val="20"/>
          <w:szCs w:val="20"/>
          <w:lang w:eastAsia="ja-JP"/>
        </w:rPr>
        <w:t xml:space="preserve"> for 1-slot sPDSCH</w:t>
      </w:r>
      <w:r w:rsidRPr="005F5B3F">
        <w:rPr>
          <w:rFonts w:eastAsia="MS Mincho"/>
          <w:b/>
          <w:iCs/>
          <w:sz w:val="20"/>
          <w:szCs w:val="20"/>
          <w:lang w:eastAsia="ja-JP"/>
        </w:rPr>
        <w:t xml:space="preserve">. </w:t>
      </w:r>
    </w:p>
    <w:p w14:paraId="5DCBB176" w14:textId="764845CA" w:rsidR="005F5B3F" w:rsidRPr="005F5B3F" w:rsidRDefault="005F5B3F" w:rsidP="000D5362">
      <w:pPr>
        <w:pStyle w:val="ListParagraph"/>
        <w:numPr>
          <w:ilvl w:val="1"/>
          <w:numId w:val="32"/>
        </w:numPr>
        <w:jc w:val="both"/>
        <w:rPr>
          <w:rFonts w:eastAsia="MS Mincho"/>
          <w:b/>
          <w:iCs/>
          <w:sz w:val="20"/>
          <w:szCs w:val="20"/>
          <w:lang w:eastAsia="ja-JP"/>
        </w:rPr>
      </w:pPr>
      <w:r w:rsidRPr="005F5B3F">
        <w:rPr>
          <w:rFonts w:eastAsia="MS Mincho"/>
          <w:b/>
          <w:iCs/>
          <w:sz w:val="20"/>
          <w:szCs w:val="20"/>
          <w:lang w:eastAsia="ja-JP"/>
        </w:rPr>
        <w:t xml:space="preserve">The UE should attempt to skip the processing of as small number of </w:t>
      </w:r>
      <w:r w:rsidR="000D5362">
        <w:rPr>
          <w:rFonts w:eastAsia="MS Mincho"/>
          <w:b/>
          <w:iCs/>
          <w:sz w:val="20"/>
          <w:szCs w:val="20"/>
          <w:lang w:eastAsia="ja-JP"/>
        </w:rPr>
        <w:t>1-slot s</w:t>
      </w:r>
      <w:r w:rsidRPr="005F5B3F">
        <w:rPr>
          <w:rFonts w:eastAsia="MS Mincho"/>
          <w:b/>
          <w:iCs/>
          <w:sz w:val="20"/>
          <w:szCs w:val="20"/>
          <w:lang w:eastAsia="ja-JP"/>
        </w:rPr>
        <w:t>PDSCH(s) as possible.</w:t>
      </w:r>
    </w:p>
    <w:p w14:paraId="6A63D1BC" w14:textId="77777777" w:rsidR="005F5B3F" w:rsidRPr="005F5B3F" w:rsidRDefault="005F5B3F" w:rsidP="000D5362">
      <w:pPr>
        <w:jc w:val="both"/>
        <w:rPr>
          <w:rFonts w:eastAsia="MS Mincho"/>
          <w:b/>
          <w:iCs/>
          <w:lang w:eastAsia="ja-JP"/>
        </w:rPr>
      </w:pPr>
    </w:p>
    <w:p w14:paraId="1271F948" w14:textId="4ED4D2CE" w:rsidR="005F5B3F" w:rsidRPr="005F5B3F" w:rsidRDefault="005F5B3F" w:rsidP="000D5362">
      <w:pPr>
        <w:pStyle w:val="ListParagraph"/>
        <w:numPr>
          <w:ilvl w:val="0"/>
          <w:numId w:val="32"/>
        </w:numPr>
        <w:jc w:val="both"/>
        <w:rPr>
          <w:rFonts w:eastAsia="MS Mincho"/>
          <w:b/>
          <w:iCs/>
          <w:sz w:val="20"/>
          <w:szCs w:val="20"/>
          <w:lang w:eastAsia="ja-JP"/>
        </w:rPr>
      </w:pPr>
      <w:r w:rsidRPr="005F5B3F">
        <w:rPr>
          <w:rFonts w:eastAsia="MS Mincho"/>
          <w:b/>
          <w:iCs/>
          <w:sz w:val="20"/>
          <w:szCs w:val="20"/>
          <w:lang w:eastAsia="ja-JP"/>
        </w:rPr>
        <w:t xml:space="preserve">In case of switching from the reception of </w:t>
      </w:r>
      <w:r w:rsidR="000D5362">
        <w:rPr>
          <w:rFonts w:eastAsia="MS Mincho"/>
          <w:b/>
          <w:iCs/>
          <w:sz w:val="20"/>
          <w:szCs w:val="20"/>
          <w:lang w:eastAsia="ja-JP"/>
        </w:rPr>
        <w:t>1-slot s</w:t>
      </w:r>
      <w:r w:rsidRPr="005F5B3F">
        <w:rPr>
          <w:rFonts w:eastAsia="MS Mincho"/>
          <w:b/>
          <w:iCs/>
          <w:sz w:val="20"/>
          <w:szCs w:val="20"/>
          <w:lang w:eastAsia="ja-JP"/>
        </w:rPr>
        <w:t xml:space="preserve">PUSCH grants within </w:t>
      </w:r>
      <w:r w:rsidR="000D5362">
        <w:rPr>
          <w:rFonts w:eastAsia="MS Mincho"/>
          <w:b/>
          <w:iCs/>
          <w:sz w:val="20"/>
          <w:szCs w:val="20"/>
          <w:lang w:eastAsia="ja-JP"/>
        </w:rPr>
        <w:t>s</w:t>
      </w:r>
      <w:r w:rsidRPr="005F5B3F">
        <w:rPr>
          <w:rFonts w:eastAsia="MS Mincho"/>
          <w:b/>
          <w:iCs/>
          <w:sz w:val="20"/>
          <w:szCs w:val="20"/>
          <w:lang w:eastAsia="ja-JP"/>
        </w:rPr>
        <w:t>TTIs n-W</w:t>
      </w:r>
      <w:r w:rsidRPr="005F5B3F">
        <w:rPr>
          <w:rFonts w:eastAsia="MS Mincho"/>
          <w:b/>
          <w:iCs/>
          <w:sz w:val="20"/>
          <w:szCs w:val="20"/>
          <w:vertAlign w:val="subscript"/>
          <w:lang w:eastAsia="ja-JP"/>
        </w:rPr>
        <w:t>UL</w:t>
      </w:r>
      <w:r w:rsidRPr="005F5B3F">
        <w:rPr>
          <w:rFonts w:eastAsia="MS Mincho"/>
          <w:b/>
          <w:iCs/>
          <w:sz w:val="20"/>
          <w:szCs w:val="20"/>
          <w:lang w:eastAsia="ja-JP"/>
        </w:rPr>
        <w:t xml:space="preserve"> to n-1 (i.e. including all CCs) to the </w:t>
      </w:r>
      <w:r w:rsidR="000D5362">
        <w:rPr>
          <w:rFonts w:eastAsia="MS Mincho"/>
          <w:b/>
          <w:iCs/>
          <w:sz w:val="20"/>
          <w:szCs w:val="20"/>
          <w:lang w:eastAsia="ja-JP"/>
        </w:rPr>
        <w:t xml:space="preserve">2-symbol </w:t>
      </w:r>
      <w:r w:rsidRPr="005F5B3F">
        <w:rPr>
          <w:rFonts w:eastAsia="MS Mincho"/>
          <w:b/>
          <w:iCs/>
          <w:sz w:val="20"/>
          <w:szCs w:val="20"/>
          <w:lang w:eastAsia="ja-JP"/>
        </w:rPr>
        <w:t xml:space="preserve">sPUSCH grant in </w:t>
      </w:r>
      <w:r w:rsidR="000D5362">
        <w:rPr>
          <w:rFonts w:eastAsia="MS Mincho"/>
          <w:b/>
          <w:iCs/>
          <w:sz w:val="20"/>
          <w:szCs w:val="20"/>
          <w:lang w:eastAsia="ja-JP"/>
        </w:rPr>
        <w:t>s</w:t>
      </w:r>
      <w:r w:rsidRPr="005F5B3F">
        <w:rPr>
          <w:rFonts w:eastAsia="MS Mincho"/>
          <w:b/>
          <w:iCs/>
          <w:sz w:val="20"/>
          <w:szCs w:val="20"/>
          <w:lang w:eastAsia="ja-JP"/>
        </w:rPr>
        <w:t>TTI/</w:t>
      </w:r>
      <w:r w:rsidR="000D5362">
        <w:rPr>
          <w:rFonts w:eastAsia="MS Mincho"/>
          <w:b/>
          <w:iCs/>
          <w:sz w:val="20"/>
          <w:szCs w:val="20"/>
          <w:lang w:eastAsia="ja-JP"/>
        </w:rPr>
        <w:t>slot</w:t>
      </w:r>
      <w:r w:rsidRPr="005F5B3F">
        <w:rPr>
          <w:rFonts w:eastAsia="MS Mincho"/>
          <w:b/>
          <w:iCs/>
          <w:sz w:val="20"/>
          <w:szCs w:val="20"/>
          <w:lang w:eastAsia="ja-JP"/>
        </w:rPr>
        <w:t xml:space="preserve"> n (i.e. including all CCs):</w:t>
      </w:r>
    </w:p>
    <w:p w14:paraId="39750CC8" w14:textId="0083101E" w:rsidR="005F5B3F" w:rsidRPr="005F5B3F" w:rsidRDefault="005F5B3F" w:rsidP="000D5362">
      <w:pPr>
        <w:pStyle w:val="ListParagraph"/>
        <w:numPr>
          <w:ilvl w:val="1"/>
          <w:numId w:val="32"/>
        </w:numPr>
        <w:jc w:val="both"/>
        <w:rPr>
          <w:rFonts w:eastAsia="MS Mincho"/>
          <w:b/>
          <w:iCs/>
          <w:sz w:val="20"/>
          <w:szCs w:val="20"/>
          <w:lang w:eastAsia="ja-JP"/>
        </w:rPr>
      </w:pPr>
      <w:r w:rsidRPr="005F5B3F">
        <w:rPr>
          <w:rFonts w:eastAsia="MS Mincho"/>
          <w:b/>
          <w:iCs/>
          <w:sz w:val="20"/>
          <w:szCs w:val="20"/>
          <w:lang w:eastAsia="ja-JP"/>
        </w:rPr>
        <w:t>Whether the UE skips processing/transmission of</w:t>
      </w:r>
      <w:r w:rsidR="000D5362">
        <w:rPr>
          <w:rFonts w:eastAsia="MS Mincho"/>
          <w:b/>
          <w:iCs/>
          <w:sz w:val="20"/>
          <w:szCs w:val="20"/>
          <w:lang w:eastAsia="ja-JP"/>
        </w:rPr>
        <w:t xml:space="preserve"> 1-slot s</w:t>
      </w:r>
      <w:r w:rsidRPr="005F5B3F">
        <w:rPr>
          <w:rFonts w:eastAsia="MS Mincho"/>
          <w:b/>
          <w:iCs/>
          <w:sz w:val="20"/>
          <w:szCs w:val="20"/>
          <w:lang w:eastAsia="ja-JP"/>
        </w:rPr>
        <w:t xml:space="preserve">PUSCH(s) is up to the UE implementation. </w:t>
      </w:r>
    </w:p>
    <w:p w14:paraId="5A783563" w14:textId="3E6A8604" w:rsidR="005F5B3F" w:rsidRPr="005F5B3F" w:rsidRDefault="005F5B3F" w:rsidP="000D5362">
      <w:pPr>
        <w:pStyle w:val="ListParagraph"/>
        <w:numPr>
          <w:ilvl w:val="1"/>
          <w:numId w:val="32"/>
        </w:numPr>
        <w:jc w:val="both"/>
        <w:rPr>
          <w:rFonts w:eastAsia="MS Mincho"/>
          <w:b/>
          <w:iCs/>
          <w:sz w:val="20"/>
          <w:szCs w:val="20"/>
          <w:lang w:eastAsia="ja-JP"/>
        </w:rPr>
      </w:pPr>
      <w:r w:rsidRPr="005F5B3F">
        <w:rPr>
          <w:rFonts w:eastAsia="MS Mincho"/>
          <w:b/>
          <w:iCs/>
          <w:sz w:val="20"/>
          <w:szCs w:val="20"/>
          <w:lang w:eastAsia="ja-JP"/>
        </w:rPr>
        <w:t xml:space="preserve">As in case of eLAA procedures, also in case of skipping, the UE should request data from higher layers based on the issued </w:t>
      </w:r>
      <w:r w:rsidR="000D5362">
        <w:rPr>
          <w:rFonts w:eastAsia="MS Mincho"/>
          <w:b/>
          <w:iCs/>
          <w:sz w:val="20"/>
          <w:szCs w:val="20"/>
          <w:lang w:eastAsia="ja-JP"/>
        </w:rPr>
        <w:t>1-slot s</w:t>
      </w:r>
      <w:r w:rsidRPr="005F5B3F">
        <w:rPr>
          <w:rFonts w:eastAsia="MS Mincho"/>
          <w:b/>
          <w:iCs/>
          <w:sz w:val="20"/>
          <w:szCs w:val="20"/>
          <w:lang w:eastAsia="ja-JP"/>
        </w:rPr>
        <w:t>PUSCH grant(s)</w:t>
      </w:r>
    </w:p>
    <w:p w14:paraId="50A503E9" w14:textId="41AAF025" w:rsidR="005F5B3F" w:rsidRPr="005F5B3F" w:rsidRDefault="005F5B3F" w:rsidP="000D5362">
      <w:pPr>
        <w:pStyle w:val="ListParagraph"/>
        <w:numPr>
          <w:ilvl w:val="1"/>
          <w:numId w:val="32"/>
        </w:numPr>
        <w:jc w:val="both"/>
        <w:rPr>
          <w:rFonts w:eastAsia="MS Mincho"/>
          <w:b/>
          <w:iCs/>
          <w:sz w:val="20"/>
          <w:szCs w:val="20"/>
          <w:lang w:eastAsia="ja-JP"/>
        </w:rPr>
      </w:pPr>
      <w:r w:rsidRPr="005F5B3F">
        <w:rPr>
          <w:rFonts w:eastAsia="MS Mincho"/>
          <w:b/>
          <w:iCs/>
          <w:sz w:val="20"/>
          <w:szCs w:val="20"/>
          <w:lang w:eastAsia="ja-JP"/>
        </w:rPr>
        <w:t>The value of W</w:t>
      </w:r>
      <w:r w:rsidRPr="005F5B3F">
        <w:rPr>
          <w:rFonts w:eastAsia="MS Mincho"/>
          <w:b/>
          <w:iCs/>
          <w:sz w:val="20"/>
          <w:szCs w:val="20"/>
          <w:vertAlign w:val="subscript"/>
          <w:lang w:eastAsia="ja-JP"/>
        </w:rPr>
        <w:t>UL</w:t>
      </w:r>
      <w:r w:rsidRPr="005F5B3F">
        <w:rPr>
          <w:rFonts w:eastAsia="MS Mincho"/>
          <w:b/>
          <w:iCs/>
          <w:sz w:val="20"/>
          <w:szCs w:val="20"/>
          <w:lang w:eastAsia="ja-JP"/>
        </w:rPr>
        <w:t xml:space="preserve"> is a UE capability with the value range of 0 to k-1, where k is the </w:t>
      </w:r>
      <w:r w:rsidR="000D5362">
        <w:rPr>
          <w:rFonts w:eastAsia="MS Mincho"/>
          <w:b/>
          <w:iCs/>
          <w:sz w:val="20"/>
          <w:szCs w:val="20"/>
          <w:lang w:eastAsia="ja-JP"/>
        </w:rPr>
        <w:t>1-slot</w:t>
      </w:r>
      <w:r w:rsidRPr="005F5B3F">
        <w:rPr>
          <w:rFonts w:eastAsia="MS Mincho"/>
          <w:b/>
          <w:iCs/>
          <w:sz w:val="20"/>
          <w:szCs w:val="20"/>
          <w:lang w:eastAsia="ja-JP"/>
        </w:rPr>
        <w:t xml:space="preserve"> TTI UL scheduling time.</w:t>
      </w:r>
    </w:p>
    <w:p w14:paraId="6593DF87" w14:textId="626012E1" w:rsidR="005F5B3F" w:rsidRPr="005F5B3F" w:rsidRDefault="005F5B3F" w:rsidP="000D5362">
      <w:pPr>
        <w:pStyle w:val="ListParagraph"/>
        <w:numPr>
          <w:ilvl w:val="1"/>
          <w:numId w:val="32"/>
        </w:numPr>
        <w:jc w:val="both"/>
        <w:rPr>
          <w:rFonts w:eastAsia="MS Mincho"/>
          <w:b/>
          <w:iCs/>
          <w:sz w:val="20"/>
          <w:szCs w:val="20"/>
          <w:lang w:eastAsia="ja-JP"/>
        </w:rPr>
      </w:pPr>
      <w:r w:rsidRPr="005F5B3F">
        <w:rPr>
          <w:rFonts w:eastAsia="MS Mincho"/>
          <w:b/>
          <w:iCs/>
          <w:sz w:val="20"/>
          <w:szCs w:val="20"/>
          <w:lang w:eastAsia="ja-JP"/>
        </w:rPr>
        <w:t>The UE should attempt to skip the processing/transmission of as small number of</w:t>
      </w:r>
      <w:r w:rsidR="000D5362">
        <w:rPr>
          <w:rFonts w:eastAsia="MS Mincho"/>
          <w:b/>
          <w:iCs/>
          <w:sz w:val="20"/>
          <w:szCs w:val="20"/>
          <w:lang w:eastAsia="ja-JP"/>
        </w:rPr>
        <w:t xml:space="preserve"> 1-slot s</w:t>
      </w:r>
      <w:r w:rsidRPr="005F5B3F">
        <w:rPr>
          <w:rFonts w:eastAsia="MS Mincho"/>
          <w:b/>
          <w:iCs/>
          <w:sz w:val="20"/>
          <w:szCs w:val="20"/>
          <w:lang w:eastAsia="ja-JP"/>
        </w:rPr>
        <w:t>PUSCH(s) as possible.</w:t>
      </w:r>
    </w:p>
    <w:p w14:paraId="497387A5" w14:textId="50F1B30D" w:rsidR="005F5B3F" w:rsidRDefault="005F5B3F" w:rsidP="005F5B3F">
      <w:pPr>
        <w:jc w:val="both"/>
        <w:rPr>
          <w:bCs/>
          <w:iCs/>
        </w:rPr>
      </w:pPr>
    </w:p>
    <w:p w14:paraId="522E60DB" w14:textId="23E27F11" w:rsidR="00130BA8" w:rsidRDefault="00130BA8" w:rsidP="00130BA8">
      <w:pPr>
        <w:pStyle w:val="Heading1"/>
        <w:jc w:val="both"/>
        <w:rPr>
          <w:lang w:val="en-US"/>
        </w:rPr>
      </w:pPr>
      <w:r>
        <w:t>3</w:t>
      </w:r>
      <w:r w:rsidRPr="00CC27F5">
        <w:tab/>
      </w:r>
      <w:r>
        <w:rPr>
          <w:lang w:val="en-US"/>
        </w:rPr>
        <w:t xml:space="preserve">HARQ Management </w:t>
      </w:r>
    </w:p>
    <w:p w14:paraId="636EED09" w14:textId="3B25D31F" w:rsidR="00130BA8" w:rsidRDefault="001B001B" w:rsidP="005F5B3F">
      <w:pPr>
        <w:jc w:val="both"/>
        <w:rPr>
          <w:bCs/>
          <w:iCs/>
        </w:rPr>
      </w:pPr>
      <w:r>
        <w:rPr>
          <w:bCs/>
          <w:iCs/>
        </w:rPr>
        <w:t>From the previous RAN1 meetings, we have that:</w:t>
      </w:r>
    </w:p>
    <w:p w14:paraId="7967E5B8" w14:textId="5929110D" w:rsidR="0084729C" w:rsidRPr="0084729C" w:rsidRDefault="0084729C" w:rsidP="0084729C">
      <w:pPr>
        <w:rPr>
          <w:rFonts w:eastAsia="MS Mincho"/>
          <w:b/>
          <w:bCs/>
          <w:iCs/>
          <w:u w:val="single"/>
          <w:lang w:eastAsia="ja-JP"/>
        </w:rPr>
      </w:pPr>
      <w:bookmarkStart w:id="3" w:name="_Hlk498686258"/>
      <w:r w:rsidRPr="0084729C">
        <w:rPr>
          <w:rFonts w:eastAsia="MS Mincho"/>
          <w:b/>
          <w:bCs/>
          <w:iCs/>
          <w:highlight w:val="green"/>
          <w:u w:val="single"/>
          <w:lang w:eastAsia="ja-JP"/>
        </w:rPr>
        <w:t>Agreement:</w:t>
      </w:r>
    </w:p>
    <w:p w14:paraId="0BC432C5" w14:textId="6C93B3DC" w:rsidR="0084729C" w:rsidRPr="0084729C" w:rsidRDefault="0084729C" w:rsidP="0084729C">
      <w:pPr>
        <w:ind w:left="288"/>
        <w:rPr>
          <w:rFonts w:eastAsia="MS Mincho"/>
          <w:i/>
          <w:lang w:eastAsia="ja-JP"/>
        </w:rPr>
      </w:pPr>
      <w:r w:rsidRPr="0084729C">
        <w:rPr>
          <w:rFonts w:eastAsia="MS Mincho"/>
          <w:i/>
          <w:lang w:eastAsia="ja-JP"/>
        </w:rPr>
        <w:t>Support HARQ process sharing between TTI and sTTI</w:t>
      </w:r>
    </w:p>
    <w:p w14:paraId="00DC7242" w14:textId="77777777" w:rsidR="0084729C" w:rsidRPr="0084729C" w:rsidRDefault="0084729C" w:rsidP="0084729C">
      <w:pPr>
        <w:numPr>
          <w:ilvl w:val="0"/>
          <w:numId w:val="30"/>
        </w:numPr>
        <w:tabs>
          <w:tab w:val="clear" w:pos="720"/>
          <w:tab w:val="num" w:pos="1008"/>
        </w:tabs>
        <w:overflowPunct/>
        <w:autoSpaceDE/>
        <w:autoSpaceDN/>
        <w:adjustRightInd/>
        <w:spacing w:after="0"/>
        <w:ind w:left="1008"/>
        <w:textAlignment w:val="auto"/>
        <w:rPr>
          <w:rFonts w:eastAsia="MS Mincho"/>
          <w:i/>
          <w:lang w:eastAsia="ja-JP"/>
        </w:rPr>
      </w:pPr>
      <w:r w:rsidRPr="0084729C">
        <w:rPr>
          <w:rFonts w:eastAsia="MS Mincho"/>
          <w:i/>
          <w:lang w:val="de-DE" w:eastAsia="ja-JP"/>
        </w:rPr>
        <w:t>The sharing is only possible for asynchronous HARQ processes, i.e. not supported for legacy processing time synchrounous UL HARQ processes</w:t>
      </w:r>
    </w:p>
    <w:p w14:paraId="2417FFEB" w14:textId="77777777" w:rsidR="0084729C" w:rsidRPr="0084729C" w:rsidRDefault="0084729C" w:rsidP="0084729C">
      <w:pPr>
        <w:numPr>
          <w:ilvl w:val="0"/>
          <w:numId w:val="30"/>
        </w:numPr>
        <w:overflowPunct/>
        <w:autoSpaceDE/>
        <w:autoSpaceDN/>
        <w:adjustRightInd/>
        <w:spacing w:after="0"/>
        <w:ind w:left="1008"/>
        <w:textAlignment w:val="auto"/>
        <w:rPr>
          <w:rFonts w:eastAsia="MS Mincho"/>
          <w:i/>
          <w:lang w:eastAsia="ja-JP"/>
        </w:rPr>
      </w:pPr>
      <w:r w:rsidRPr="0084729C">
        <w:rPr>
          <w:rFonts w:eastAsia="MS Mincho"/>
          <w:i/>
          <w:lang w:eastAsia="ja-JP"/>
        </w:rPr>
        <w:t>If configured with sTTI on a CC:</w:t>
      </w:r>
    </w:p>
    <w:p w14:paraId="47C1A377" w14:textId="77777777" w:rsidR="0084729C" w:rsidRPr="0084729C" w:rsidRDefault="0084729C" w:rsidP="0084729C">
      <w:pPr>
        <w:numPr>
          <w:ilvl w:val="1"/>
          <w:numId w:val="30"/>
        </w:numPr>
        <w:overflowPunct/>
        <w:autoSpaceDE/>
        <w:autoSpaceDN/>
        <w:adjustRightInd/>
        <w:spacing w:after="0"/>
        <w:ind w:left="1728"/>
        <w:textAlignment w:val="auto"/>
        <w:rPr>
          <w:rFonts w:eastAsia="MS Mincho"/>
          <w:i/>
          <w:lang w:eastAsia="ja-JP"/>
        </w:rPr>
      </w:pPr>
      <w:r w:rsidRPr="0084729C">
        <w:rPr>
          <w:rFonts w:eastAsia="MS Mincho"/>
          <w:i/>
          <w:lang w:eastAsia="ja-JP"/>
        </w:rPr>
        <w:t xml:space="preserve">the HARQ ID field size in the DL assignments of PDSCH on USS for legacy and reduced processing time is the same as for sPDSCH assignments </w:t>
      </w:r>
    </w:p>
    <w:p w14:paraId="6AA8E5B1" w14:textId="77777777" w:rsidR="0084729C" w:rsidRPr="0084729C" w:rsidRDefault="0084729C" w:rsidP="0084729C">
      <w:pPr>
        <w:numPr>
          <w:ilvl w:val="1"/>
          <w:numId w:val="30"/>
        </w:numPr>
        <w:overflowPunct/>
        <w:autoSpaceDE/>
        <w:autoSpaceDN/>
        <w:adjustRightInd/>
        <w:spacing w:after="0"/>
        <w:ind w:left="1728"/>
        <w:textAlignment w:val="auto"/>
        <w:rPr>
          <w:rFonts w:eastAsia="MS Mincho"/>
          <w:i/>
          <w:lang w:eastAsia="ja-JP"/>
        </w:rPr>
      </w:pPr>
      <w:r w:rsidRPr="0084729C">
        <w:rPr>
          <w:rFonts w:eastAsia="MS Mincho"/>
          <w:i/>
          <w:lang w:eastAsia="ja-JP"/>
        </w:rPr>
        <w:t>the HARQ ID field size in the UL grants on USS for reduced processing time is the same as for sPUSCH grants</w:t>
      </w:r>
    </w:p>
    <w:p w14:paraId="6C80B2DB" w14:textId="77777777" w:rsidR="0084729C" w:rsidRPr="0084729C" w:rsidRDefault="0084729C" w:rsidP="0084729C">
      <w:pPr>
        <w:numPr>
          <w:ilvl w:val="0"/>
          <w:numId w:val="30"/>
        </w:numPr>
        <w:overflowPunct/>
        <w:autoSpaceDE/>
        <w:autoSpaceDN/>
        <w:adjustRightInd/>
        <w:spacing w:after="0"/>
        <w:ind w:left="1008"/>
        <w:textAlignment w:val="auto"/>
        <w:rPr>
          <w:rFonts w:eastAsia="MS Mincho"/>
          <w:i/>
          <w:lang w:eastAsia="ja-JP"/>
        </w:rPr>
      </w:pPr>
      <w:r w:rsidRPr="0084729C">
        <w:rPr>
          <w:rFonts w:eastAsia="MS Mincho"/>
          <w:i/>
          <w:lang w:val="de-DE" w:eastAsia="ja-JP"/>
        </w:rPr>
        <w:t>The re-transmission of a TB with another (s)TTI length is possible if:</w:t>
      </w:r>
    </w:p>
    <w:p w14:paraId="205A698E" w14:textId="77777777" w:rsidR="0084729C" w:rsidRPr="0084729C" w:rsidRDefault="0084729C" w:rsidP="0084729C">
      <w:pPr>
        <w:numPr>
          <w:ilvl w:val="1"/>
          <w:numId w:val="30"/>
        </w:numPr>
        <w:overflowPunct/>
        <w:autoSpaceDE/>
        <w:autoSpaceDN/>
        <w:adjustRightInd/>
        <w:spacing w:after="0"/>
        <w:ind w:left="1728"/>
        <w:textAlignment w:val="auto"/>
        <w:rPr>
          <w:rFonts w:eastAsia="MS Mincho"/>
          <w:i/>
          <w:lang w:eastAsia="ja-JP"/>
        </w:rPr>
      </w:pPr>
      <w:r w:rsidRPr="0084729C">
        <w:rPr>
          <w:rFonts w:eastAsia="MS Mincho"/>
          <w:i/>
          <w:lang w:val="de-DE" w:eastAsia="ja-JP"/>
        </w:rPr>
        <w:t>The number of codewords of the HARQ process is not larger than supported by the respective sTTI length</w:t>
      </w:r>
    </w:p>
    <w:p w14:paraId="479038F0" w14:textId="77777777" w:rsidR="0084729C" w:rsidRPr="0084729C" w:rsidRDefault="0084729C" w:rsidP="0084729C">
      <w:pPr>
        <w:numPr>
          <w:ilvl w:val="1"/>
          <w:numId w:val="30"/>
        </w:numPr>
        <w:overflowPunct/>
        <w:autoSpaceDE/>
        <w:autoSpaceDN/>
        <w:adjustRightInd/>
        <w:spacing w:after="0"/>
        <w:ind w:left="1728"/>
        <w:textAlignment w:val="auto"/>
        <w:rPr>
          <w:rFonts w:eastAsia="MS Mincho"/>
          <w:i/>
          <w:lang w:eastAsia="ja-JP"/>
        </w:rPr>
      </w:pPr>
      <w:r w:rsidRPr="0084729C">
        <w:rPr>
          <w:rFonts w:eastAsia="MS Mincho"/>
          <w:i/>
          <w:lang w:val="de-DE" w:eastAsia="ja-JP"/>
        </w:rPr>
        <w:t>The TB size of a codeword is not larger than X. X is FFS and may be sTTI length dependent.</w:t>
      </w:r>
    </w:p>
    <w:p w14:paraId="35213144" w14:textId="50A08642" w:rsidR="001B001B" w:rsidRDefault="0084729C" w:rsidP="0084729C">
      <w:pPr>
        <w:ind w:left="288"/>
        <w:jc w:val="both"/>
        <w:rPr>
          <w:rFonts w:eastAsia="MS Mincho"/>
          <w:i/>
          <w:lang w:val="de-DE" w:eastAsia="ja-JP"/>
        </w:rPr>
      </w:pPr>
      <w:r w:rsidRPr="0084729C">
        <w:rPr>
          <w:rFonts w:eastAsia="MS Mincho"/>
          <w:i/>
          <w:lang w:val="de-DE" w:eastAsia="ja-JP"/>
        </w:rPr>
        <w:t>FFS other restrictions</w:t>
      </w:r>
    </w:p>
    <w:bookmarkEnd w:id="3"/>
    <w:p w14:paraId="394B6FB6" w14:textId="5073D8BF" w:rsidR="0084729C" w:rsidRDefault="0084729C" w:rsidP="0084729C">
      <w:pPr>
        <w:jc w:val="both"/>
        <w:rPr>
          <w:rFonts w:eastAsia="MS Mincho"/>
          <w:i/>
          <w:lang w:val="de-DE" w:eastAsia="ja-JP"/>
        </w:rPr>
      </w:pPr>
    </w:p>
    <w:p w14:paraId="074EE790" w14:textId="2E022D71" w:rsidR="0084729C" w:rsidRDefault="0084729C" w:rsidP="0084729C">
      <w:pPr>
        <w:jc w:val="both"/>
        <w:rPr>
          <w:rFonts w:eastAsia="MS Mincho"/>
          <w:b/>
          <w:bCs/>
          <w:iCs/>
          <w:u w:val="single"/>
          <w:lang w:val="de-DE" w:eastAsia="ja-JP"/>
        </w:rPr>
      </w:pPr>
      <w:r w:rsidRPr="0084729C">
        <w:rPr>
          <w:rFonts w:eastAsia="MS Mincho"/>
          <w:b/>
          <w:bCs/>
          <w:iCs/>
          <w:highlight w:val="green"/>
          <w:u w:val="single"/>
          <w:lang w:val="de-DE" w:eastAsia="ja-JP"/>
        </w:rPr>
        <w:t>Agreement:</w:t>
      </w:r>
    </w:p>
    <w:p w14:paraId="0BE97C59" w14:textId="77777777" w:rsidR="0084729C" w:rsidRPr="0084729C" w:rsidRDefault="0084729C" w:rsidP="0084729C">
      <w:pPr>
        <w:ind w:left="288"/>
        <w:rPr>
          <w:rFonts w:eastAsia="MS Mincho"/>
          <w:i/>
          <w:color w:val="000000" w:themeColor="text1"/>
          <w:lang w:eastAsia="ja-JP"/>
        </w:rPr>
      </w:pPr>
      <w:r w:rsidRPr="0084729C">
        <w:rPr>
          <w:rFonts w:eastAsia="MS Mincho"/>
          <w:i/>
          <w:color w:val="000000" w:themeColor="text1"/>
          <w:lang w:eastAsia="ja-JP"/>
        </w:rPr>
        <w:t>For sPUSCH and sPDSCH, the value in the legacy TBS is scaled according to TBS*α with the resulting TBS rounded off to the closest valid TBS.</w:t>
      </w:r>
    </w:p>
    <w:p w14:paraId="17542672" w14:textId="77777777" w:rsidR="0084729C" w:rsidRPr="0084729C" w:rsidRDefault="0084729C" w:rsidP="0084729C">
      <w:pPr>
        <w:ind w:left="288"/>
        <w:rPr>
          <w:rFonts w:eastAsia="MS Mincho"/>
          <w:i/>
          <w:color w:val="000000" w:themeColor="text1"/>
          <w:lang w:eastAsia="ja-JP"/>
        </w:rPr>
      </w:pPr>
      <w:r w:rsidRPr="0084729C">
        <w:rPr>
          <w:rFonts w:eastAsia="MS Mincho"/>
          <w:i/>
          <w:color w:val="000000" w:themeColor="text1"/>
          <w:lang w:eastAsia="ja-JP"/>
        </w:rPr>
        <w:t>- NOTE: The α value can be the same or different for different sTTI lengths and for sPUSCH and sPDSCH</w:t>
      </w:r>
    </w:p>
    <w:p w14:paraId="24961767" w14:textId="12539B2A" w:rsidR="0084729C" w:rsidRPr="0084729C" w:rsidRDefault="0084729C" w:rsidP="0084729C">
      <w:pPr>
        <w:ind w:left="288"/>
        <w:jc w:val="both"/>
        <w:rPr>
          <w:rFonts w:eastAsia="MS Mincho"/>
          <w:b/>
          <w:bCs/>
          <w:i/>
          <w:color w:val="000000" w:themeColor="text1"/>
          <w:u w:val="single"/>
          <w:lang w:val="de-DE" w:eastAsia="ja-JP"/>
        </w:rPr>
      </w:pPr>
      <w:r w:rsidRPr="0084729C">
        <w:rPr>
          <w:rFonts w:eastAsia="MS Mincho"/>
          <w:i/>
          <w:color w:val="000000" w:themeColor="text1"/>
          <w:lang w:eastAsia="ja-JP"/>
        </w:rPr>
        <w:lastRenderedPageBreak/>
        <w:t>- The TBS scaling is performed assuming the same number of layers within a codeword for PDSCH and sPDSCH.</w:t>
      </w:r>
    </w:p>
    <w:p w14:paraId="2E007F37" w14:textId="35AA2E08" w:rsidR="0084729C" w:rsidRPr="0084729C" w:rsidRDefault="0084729C" w:rsidP="0084729C">
      <w:pPr>
        <w:spacing w:after="0"/>
        <w:rPr>
          <w:rFonts w:eastAsia="MS Mincho"/>
          <w:b/>
          <w:bCs/>
          <w:iCs/>
          <w:color w:val="000000" w:themeColor="text1"/>
          <w:u w:val="single"/>
          <w:lang w:eastAsia="ja-JP"/>
        </w:rPr>
      </w:pPr>
      <w:r w:rsidRPr="0084729C">
        <w:rPr>
          <w:rFonts w:eastAsia="MS Mincho"/>
          <w:b/>
          <w:bCs/>
          <w:iCs/>
          <w:color w:val="000000" w:themeColor="text1"/>
          <w:highlight w:val="green"/>
          <w:u w:val="single"/>
          <w:lang w:eastAsia="ja-JP"/>
        </w:rPr>
        <w:t>Agreement:</w:t>
      </w:r>
    </w:p>
    <w:p w14:paraId="472BBEC3" w14:textId="292FE8BE" w:rsidR="0084729C" w:rsidRPr="0084729C" w:rsidRDefault="0084729C" w:rsidP="0084729C">
      <w:pPr>
        <w:spacing w:after="0"/>
        <w:ind w:left="288"/>
        <w:rPr>
          <w:rFonts w:eastAsia="MS Mincho"/>
          <w:i/>
          <w:color w:val="000000" w:themeColor="text1"/>
          <w:lang w:eastAsia="ja-JP"/>
        </w:rPr>
      </w:pPr>
      <w:r w:rsidRPr="0084729C">
        <w:rPr>
          <w:rFonts w:eastAsia="MS Mincho"/>
          <w:i/>
          <w:color w:val="000000" w:themeColor="text1"/>
          <w:lang w:eastAsia="ja-JP"/>
        </w:rPr>
        <w:t>The DL TBS scaling factor is:</w:t>
      </w:r>
    </w:p>
    <w:p w14:paraId="74421A2D" w14:textId="77777777" w:rsidR="0084729C" w:rsidRPr="0084729C" w:rsidRDefault="0084729C" w:rsidP="0084729C">
      <w:pPr>
        <w:pStyle w:val="ListParagraph"/>
        <w:ind w:left="648"/>
        <w:contextualSpacing w:val="0"/>
        <w:rPr>
          <w:rFonts w:eastAsia="MS Mincho"/>
          <w:i/>
          <w:color w:val="000000" w:themeColor="text1"/>
          <w:lang w:eastAsia="ja-JP"/>
        </w:rPr>
      </w:pPr>
      <w:r w:rsidRPr="0084729C">
        <w:rPr>
          <w:rFonts w:eastAsia="MS Mincho"/>
          <w:i/>
          <w:color w:val="000000" w:themeColor="text1"/>
          <w:lang w:eastAsia="ja-JP"/>
        </w:rPr>
        <w:t xml:space="preserve">7os: </w:t>
      </w:r>
      <w:r w:rsidRPr="0084729C">
        <w:rPr>
          <w:rFonts w:eastAsia="MS Mincho"/>
          <w:i/>
          <w:color w:val="000000" w:themeColor="text1"/>
          <w:sz w:val="20"/>
          <w:szCs w:val="20"/>
          <w:lang w:eastAsia="ja-JP"/>
        </w:rPr>
        <w:t>0.5.</w:t>
      </w:r>
    </w:p>
    <w:p w14:paraId="60DE3029" w14:textId="5CB186BE" w:rsidR="0084729C" w:rsidRDefault="0084729C" w:rsidP="0084729C">
      <w:pPr>
        <w:ind w:left="576"/>
        <w:jc w:val="both"/>
        <w:rPr>
          <w:rFonts w:eastAsia="MS Mincho"/>
          <w:i/>
          <w:color w:val="000000" w:themeColor="text1"/>
          <w:lang w:eastAsia="ja-JP"/>
        </w:rPr>
      </w:pPr>
      <w:r w:rsidRPr="0084729C">
        <w:rPr>
          <w:rFonts w:eastAsia="MS Mincho"/>
          <w:i/>
          <w:color w:val="000000" w:themeColor="text1"/>
          <w:lang w:eastAsia="ja-JP"/>
        </w:rPr>
        <w:t>2/3os: 1/6</w:t>
      </w:r>
    </w:p>
    <w:p w14:paraId="374E3E98" w14:textId="4D553D0A" w:rsidR="00CC5F39" w:rsidRDefault="00CC5F39" w:rsidP="00CC5F39">
      <w:pPr>
        <w:jc w:val="both"/>
        <w:rPr>
          <w:rFonts w:eastAsia="MS Mincho"/>
          <w:iCs/>
          <w:color w:val="000000" w:themeColor="text1"/>
          <w:lang w:eastAsia="ja-JP"/>
        </w:rPr>
      </w:pPr>
      <w:r>
        <w:rPr>
          <w:rFonts w:eastAsia="MS Mincho"/>
          <w:iCs/>
          <w:color w:val="000000" w:themeColor="text1"/>
          <w:lang w:eastAsia="ja-JP"/>
        </w:rPr>
        <w:t xml:space="preserve">For the sTTI operation, the rate-matching formula should be revised as follows: For a given UE category, the same </w:t>
      </w:r>
      <m:oMath>
        <m:sSub>
          <m:sSubPr>
            <m:ctrlPr>
              <w:rPr>
                <w:rFonts w:ascii="Cambria Math" w:eastAsia="MS Mincho" w:hAnsi="Cambria Math"/>
                <w:i/>
                <w:iCs/>
                <w:color w:val="000000" w:themeColor="text1"/>
                <w:lang w:eastAsia="ja-JP"/>
              </w:rPr>
            </m:ctrlPr>
          </m:sSubPr>
          <m:e>
            <m:r>
              <w:rPr>
                <w:rFonts w:ascii="Cambria Math" w:eastAsia="MS Mincho" w:hAnsi="Cambria Math"/>
                <w:color w:val="000000" w:themeColor="text1"/>
                <w:lang w:eastAsia="ja-JP"/>
              </w:rPr>
              <m:t>K</m:t>
            </m:r>
          </m:e>
          <m:sub>
            <m:r>
              <w:rPr>
                <w:rFonts w:ascii="Cambria Math" w:eastAsia="MS Mincho" w:hAnsi="Cambria Math"/>
                <w:color w:val="000000" w:themeColor="text1"/>
                <w:lang w:eastAsia="ja-JP"/>
              </w:rPr>
              <m:t>c</m:t>
            </m:r>
          </m:sub>
        </m:sSub>
      </m:oMath>
      <w:r>
        <w:rPr>
          <w:rFonts w:eastAsia="MS Mincho"/>
          <w:iCs/>
          <w:color w:val="000000" w:themeColor="text1"/>
          <w:lang w:eastAsia="ja-JP"/>
        </w:rPr>
        <w:t xml:space="preserve"> as in the legacy LTE can be used. However, given that the sTTI supports only one CW, the </w:t>
      </w:r>
      <m:oMath>
        <m:sSub>
          <m:sSubPr>
            <m:ctrlPr>
              <w:rPr>
                <w:rFonts w:ascii="Cambria Math" w:eastAsia="MS Mincho" w:hAnsi="Cambria Math"/>
                <w:i/>
                <w:iCs/>
                <w:color w:val="000000" w:themeColor="text1"/>
                <w:lang w:eastAsia="ja-JP"/>
              </w:rPr>
            </m:ctrlPr>
          </m:sSubPr>
          <m:e>
            <m:r>
              <w:rPr>
                <w:rFonts w:ascii="Cambria Math" w:eastAsia="MS Mincho" w:hAnsi="Cambria Math"/>
                <w:color w:val="000000" w:themeColor="text1"/>
                <w:lang w:eastAsia="ja-JP"/>
              </w:rPr>
              <m:t>K</m:t>
            </m:r>
          </m:e>
          <m:sub>
            <m:r>
              <w:rPr>
                <w:rFonts w:ascii="Cambria Math" w:eastAsia="MS Mincho" w:hAnsi="Cambria Math"/>
                <w:color w:val="000000" w:themeColor="text1"/>
                <w:lang w:eastAsia="ja-JP"/>
              </w:rPr>
              <m:t>MIMO</m:t>
            </m:r>
          </m:sub>
        </m:sSub>
      </m:oMath>
      <w:r>
        <w:rPr>
          <w:rFonts w:eastAsia="MS Mincho"/>
          <w:iCs/>
          <w:color w:val="000000" w:themeColor="text1"/>
          <w:lang w:eastAsia="ja-JP"/>
        </w:rPr>
        <w:t xml:space="preserve"> should be set to 1. </w:t>
      </w:r>
    </w:p>
    <w:p w14:paraId="5A139940" w14:textId="3A2347B4" w:rsidR="00CC5F39" w:rsidRPr="00CC5F39" w:rsidRDefault="00CC5F39" w:rsidP="00CC5F39">
      <w:pPr>
        <w:jc w:val="both"/>
        <w:rPr>
          <w:rFonts w:eastAsia="MS Mincho"/>
          <w:b/>
          <w:bCs/>
          <w:iCs/>
          <w:color w:val="000000" w:themeColor="text1"/>
          <w:lang w:eastAsia="ja-JP"/>
        </w:rPr>
      </w:pPr>
      <w:r w:rsidRPr="00CC5F39">
        <w:rPr>
          <w:rFonts w:eastAsia="MS Mincho"/>
          <w:b/>
          <w:bCs/>
          <w:iCs/>
          <w:color w:val="000000" w:themeColor="text1"/>
          <w:lang w:eastAsia="ja-JP"/>
        </w:rPr>
        <w:t xml:space="preserve">Proposal 2: In the sTTI rate-matching formula, the same </w:t>
      </w:r>
      <m:oMath>
        <m:sSub>
          <m:sSubPr>
            <m:ctrlPr>
              <w:rPr>
                <w:rFonts w:ascii="Cambria Math" w:eastAsia="MS Mincho" w:hAnsi="Cambria Math"/>
                <w:b/>
                <w:bCs/>
                <w:i/>
                <w:iCs/>
                <w:color w:val="000000" w:themeColor="text1"/>
                <w:lang w:eastAsia="ja-JP"/>
              </w:rPr>
            </m:ctrlPr>
          </m:sSubPr>
          <m:e>
            <m:r>
              <m:rPr>
                <m:sty m:val="bi"/>
              </m:rPr>
              <w:rPr>
                <w:rFonts w:ascii="Cambria Math" w:eastAsia="MS Mincho" w:hAnsi="Cambria Math"/>
                <w:color w:val="000000" w:themeColor="text1"/>
                <w:lang w:eastAsia="ja-JP"/>
              </w:rPr>
              <m:t>K</m:t>
            </m:r>
          </m:e>
          <m:sub>
            <m:r>
              <m:rPr>
                <m:sty m:val="bi"/>
              </m:rPr>
              <w:rPr>
                <w:rFonts w:ascii="Cambria Math" w:eastAsia="MS Mincho" w:hAnsi="Cambria Math"/>
                <w:color w:val="000000" w:themeColor="text1"/>
                <w:lang w:eastAsia="ja-JP"/>
              </w:rPr>
              <m:t>c</m:t>
            </m:r>
          </m:sub>
        </m:sSub>
      </m:oMath>
      <w:r w:rsidRPr="00CC5F39">
        <w:rPr>
          <w:rFonts w:eastAsia="MS Mincho"/>
          <w:b/>
          <w:bCs/>
          <w:iCs/>
          <w:color w:val="000000" w:themeColor="text1"/>
          <w:lang w:eastAsia="ja-JP"/>
        </w:rPr>
        <w:t xml:space="preserve"> as in the legacy LTE should be used, and the </w:t>
      </w:r>
      <m:oMath>
        <m:sSub>
          <m:sSubPr>
            <m:ctrlPr>
              <w:rPr>
                <w:rFonts w:ascii="Cambria Math" w:eastAsia="MS Mincho" w:hAnsi="Cambria Math"/>
                <w:b/>
                <w:bCs/>
                <w:i/>
                <w:iCs/>
                <w:color w:val="000000" w:themeColor="text1"/>
                <w:lang w:eastAsia="ja-JP"/>
              </w:rPr>
            </m:ctrlPr>
          </m:sSubPr>
          <m:e>
            <m:r>
              <m:rPr>
                <m:sty m:val="bi"/>
              </m:rPr>
              <w:rPr>
                <w:rFonts w:ascii="Cambria Math" w:eastAsia="MS Mincho" w:hAnsi="Cambria Math"/>
                <w:color w:val="000000" w:themeColor="text1"/>
                <w:lang w:eastAsia="ja-JP"/>
              </w:rPr>
              <m:t>K</m:t>
            </m:r>
          </m:e>
          <m:sub>
            <m:r>
              <m:rPr>
                <m:sty m:val="bi"/>
              </m:rPr>
              <w:rPr>
                <w:rFonts w:ascii="Cambria Math" w:eastAsia="MS Mincho" w:hAnsi="Cambria Math"/>
                <w:color w:val="000000" w:themeColor="text1"/>
                <w:lang w:eastAsia="ja-JP"/>
              </w:rPr>
              <m:t>MIMO</m:t>
            </m:r>
          </m:sub>
        </m:sSub>
      </m:oMath>
      <w:r w:rsidRPr="00CC5F39">
        <w:rPr>
          <w:rFonts w:eastAsia="MS Mincho"/>
          <w:b/>
          <w:bCs/>
          <w:iCs/>
          <w:color w:val="000000" w:themeColor="text1"/>
          <w:lang w:eastAsia="ja-JP"/>
        </w:rPr>
        <w:t xml:space="preserve"> should be set to 1.</w:t>
      </w:r>
    </w:p>
    <w:p w14:paraId="218B1A1E" w14:textId="6F122D3D" w:rsidR="0084729C" w:rsidRDefault="00CC5F39" w:rsidP="0084729C">
      <w:pPr>
        <w:jc w:val="both"/>
        <w:rPr>
          <w:rFonts w:eastAsia="MS Mincho"/>
          <w:iCs/>
          <w:color w:val="000000" w:themeColor="text1"/>
          <w:lang w:eastAsia="ja-JP"/>
        </w:rPr>
      </w:pPr>
      <w:r>
        <w:rPr>
          <w:rFonts w:eastAsia="MS Mincho"/>
          <w:iCs/>
          <w:color w:val="000000" w:themeColor="text1"/>
          <w:lang w:eastAsia="ja-JP"/>
        </w:rPr>
        <w:t>Next</w:t>
      </w:r>
      <w:r w:rsidR="00D84E06">
        <w:rPr>
          <w:rFonts w:eastAsia="MS Mincho"/>
          <w:iCs/>
          <w:color w:val="000000" w:themeColor="text1"/>
          <w:lang w:eastAsia="ja-JP"/>
        </w:rPr>
        <w:t xml:space="preserve">, since the TB size is scaled down in sTTI, it makes sense to scale down the </w:t>
      </w:r>
      <m:oMath>
        <m:sSub>
          <m:sSubPr>
            <m:ctrlPr>
              <w:rPr>
                <w:rFonts w:ascii="Cambria Math" w:eastAsia="MS Mincho" w:hAnsi="Cambria Math"/>
                <w:i/>
                <w:iCs/>
                <w:color w:val="000000" w:themeColor="text1"/>
                <w:lang w:eastAsia="ja-JP"/>
              </w:rPr>
            </m:ctrlPr>
          </m:sSubPr>
          <m:e>
            <m:r>
              <w:rPr>
                <w:rFonts w:ascii="Cambria Math" w:eastAsia="MS Mincho" w:hAnsi="Cambria Math"/>
                <w:color w:val="000000" w:themeColor="text1"/>
                <w:lang w:eastAsia="ja-JP"/>
              </w:rPr>
              <m:t>N</m:t>
            </m:r>
          </m:e>
          <m:sub>
            <m:r>
              <w:rPr>
                <w:rFonts w:ascii="Cambria Math" w:eastAsia="MS Mincho" w:hAnsi="Cambria Math"/>
                <w:color w:val="000000" w:themeColor="text1"/>
                <w:lang w:eastAsia="ja-JP"/>
              </w:rPr>
              <m:t>IR</m:t>
            </m:r>
          </m:sub>
        </m:sSub>
        <m:r>
          <w:rPr>
            <w:rFonts w:ascii="Cambria Math" w:eastAsia="MS Mincho" w:hAnsi="Cambria Math"/>
            <w:color w:val="000000" w:themeColor="text1"/>
            <w:lang w:eastAsia="ja-JP"/>
          </w:rPr>
          <m:t xml:space="preserve"> </m:t>
        </m:r>
      </m:oMath>
      <w:r w:rsidR="00D84E06">
        <w:rPr>
          <w:rFonts w:eastAsia="MS Mincho"/>
          <w:iCs/>
          <w:color w:val="000000" w:themeColor="text1"/>
          <w:lang w:eastAsia="ja-JP"/>
        </w:rPr>
        <w:t>accordingly. The reason for this can be explained as follows:</w:t>
      </w:r>
      <w:r w:rsidR="00BA4AE5">
        <w:rPr>
          <w:rFonts w:eastAsia="MS Mincho"/>
          <w:iCs/>
          <w:color w:val="000000" w:themeColor="text1"/>
          <w:lang w:eastAsia="ja-JP"/>
        </w:rPr>
        <w:t xml:space="preserve"> Consider a UE category that supports 256QAM. For this UE, the maximum</w:t>
      </w:r>
      <w:r w:rsidR="00434ADB">
        <w:rPr>
          <w:rFonts w:eastAsia="MS Mincho"/>
          <w:iCs/>
          <w:color w:val="000000" w:themeColor="text1"/>
          <w:lang w:eastAsia="ja-JP"/>
        </w:rPr>
        <w:t xml:space="preserve"> 1-Layer</w:t>
      </w:r>
      <w:r w:rsidR="00BA4AE5">
        <w:rPr>
          <w:rFonts w:eastAsia="MS Mincho"/>
          <w:iCs/>
          <w:color w:val="000000" w:themeColor="text1"/>
          <w:lang w:eastAsia="ja-JP"/>
        </w:rPr>
        <w:t xml:space="preserve"> TB size is 97896. Given the size of</w:t>
      </w:r>
      <w:r w:rsidR="000B7FC4">
        <w:rPr>
          <w:rFonts w:eastAsia="MS Mincho"/>
          <w:iCs/>
          <w:color w:val="000000" w:themeColor="text1"/>
          <w:lang w:eastAsia="ja-JP"/>
        </w:rPr>
        <w:t xml:space="preserve"> </w:t>
      </w:r>
      <m:oMath>
        <m:sSub>
          <m:sSubPr>
            <m:ctrlPr>
              <w:rPr>
                <w:rFonts w:ascii="Cambria Math" w:eastAsia="MS Mincho" w:hAnsi="Cambria Math"/>
                <w:i/>
                <w:iCs/>
                <w:color w:val="000000" w:themeColor="text1"/>
                <w:lang w:eastAsia="ja-JP"/>
              </w:rPr>
            </m:ctrlPr>
          </m:sSubPr>
          <m:e>
            <m:r>
              <w:rPr>
                <w:rFonts w:ascii="Cambria Math" w:eastAsia="MS Mincho" w:hAnsi="Cambria Math"/>
                <w:color w:val="000000" w:themeColor="text1"/>
                <w:lang w:eastAsia="ja-JP"/>
              </w:rPr>
              <m:t>N</m:t>
            </m:r>
          </m:e>
          <m:sub>
            <m:r>
              <w:rPr>
                <w:rFonts w:ascii="Cambria Math" w:eastAsia="MS Mincho" w:hAnsi="Cambria Math"/>
                <w:color w:val="000000" w:themeColor="text1"/>
                <w:lang w:eastAsia="ja-JP"/>
              </w:rPr>
              <m:t>IR</m:t>
            </m:r>
          </m:sub>
        </m:sSub>
        <m:r>
          <w:rPr>
            <w:rFonts w:ascii="Cambria Math" w:eastAsia="MS Mincho" w:hAnsi="Cambria Math"/>
            <w:color w:val="000000" w:themeColor="text1"/>
            <w:lang w:eastAsia="ja-JP"/>
          </w:rPr>
          <m:t>=152256</m:t>
        </m:r>
      </m:oMath>
      <w:r w:rsidR="00BA4AE5">
        <w:rPr>
          <w:rFonts w:eastAsia="MS Mincho"/>
          <w:iCs/>
          <w:color w:val="000000" w:themeColor="text1"/>
          <w:lang w:eastAsia="ja-JP"/>
        </w:rPr>
        <w:t xml:space="preserve">, the code rate is </w:t>
      </w:r>
      <w:r w:rsidR="00434ADB">
        <w:rPr>
          <w:rFonts w:eastAsia="MS Mincho"/>
          <w:iCs/>
          <w:color w:val="000000" w:themeColor="text1"/>
          <w:lang w:eastAsia="ja-JP"/>
        </w:rPr>
        <w:t xml:space="preserve">about </w:t>
      </w:r>
      <w:r w:rsidR="00BA4AE5">
        <w:rPr>
          <w:rFonts w:eastAsia="MS Mincho"/>
          <w:iCs/>
          <w:color w:val="000000" w:themeColor="text1"/>
          <w:lang w:eastAsia="ja-JP"/>
        </w:rPr>
        <w:t>0.64. For this UE, the soft buffer size is</w:t>
      </w:r>
      <w:r w:rsidR="00434ADB">
        <w:rPr>
          <w:rFonts w:eastAsia="MS Mincho"/>
          <w:iCs/>
          <w:color w:val="000000" w:themeColor="text1"/>
          <w:lang w:eastAsia="ja-JP"/>
        </w:rPr>
        <w:t xml:space="preserve"> roughly</w:t>
      </w:r>
      <w:r w:rsidR="00BA4AE5">
        <w:rPr>
          <w:rFonts w:eastAsia="MS Mincho"/>
          <w:iCs/>
          <w:color w:val="000000" w:themeColor="text1"/>
          <w:lang w:eastAsia="ja-JP"/>
        </w:rPr>
        <w:t xml:space="preserve"> </w:t>
      </w:r>
      <m:oMath>
        <m:sSub>
          <m:sSubPr>
            <m:ctrlPr>
              <w:rPr>
                <w:rFonts w:ascii="Cambria Math" w:eastAsia="MS Mincho" w:hAnsi="Cambria Math"/>
                <w:i/>
                <w:iCs/>
                <w:color w:val="000000" w:themeColor="text1"/>
                <w:lang w:eastAsia="ja-JP"/>
              </w:rPr>
            </m:ctrlPr>
          </m:sSubPr>
          <m:e>
            <m:r>
              <w:rPr>
                <w:rFonts w:ascii="Cambria Math" w:eastAsia="MS Mincho" w:hAnsi="Cambria Math"/>
                <w:color w:val="000000" w:themeColor="text1"/>
                <w:lang w:eastAsia="ja-JP"/>
              </w:rPr>
              <m:t>N</m:t>
            </m:r>
          </m:e>
          <m:sub>
            <m:r>
              <w:rPr>
                <w:rFonts w:ascii="Cambria Math" w:eastAsia="MS Mincho" w:hAnsi="Cambria Math"/>
                <w:color w:val="000000" w:themeColor="text1"/>
                <w:lang w:eastAsia="ja-JP"/>
              </w:rPr>
              <m:t>IR</m:t>
            </m:r>
          </m:sub>
        </m:sSub>
        <m:r>
          <w:rPr>
            <w:rFonts w:ascii="Cambria Math" w:eastAsia="MS Mincho" w:hAnsi="Cambria Math"/>
            <w:color w:val="000000" w:themeColor="text1"/>
            <w:lang w:eastAsia="ja-JP"/>
          </w:rPr>
          <m:t xml:space="preserve">=1.55 </m:t>
        </m:r>
        <m:sSub>
          <m:sSubPr>
            <m:ctrlPr>
              <w:rPr>
                <w:rFonts w:ascii="Cambria Math" w:eastAsia="MS Mincho" w:hAnsi="Cambria Math"/>
                <w:i/>
                <w:iCs/>
                <w:color w:val="000000" w:themeColor="text1"/>
                <w:lang w:eastAsia="ja-JP"/>
              </w:rPr>
            </m:ctrlPr>
          </m:sSubPr>
          <m:e>
            <m:r>
              <w:rPr>
                <w:rFonts w:ascii="Cambria Math" w:eastAsia="MS Mincho" w:hAnsi="Cambria Math"/>
                <w:color w:val="000000" w:themeColor="text1"/>
                <w:lang w:eastAsia="ja-JP"/>
              </w:rPr>
              <m:t>T</m:t>
            </m:r>
          </m:e>
          <m:sub>
            <m:r>
              <w:rPr>
                <w:rFonts w:ascii="Cambria Math" w:eastAsia="MS Mincho" w:hAnsi="Cambria Math"/>
                <w:color w:val="000000" w:themeColor="text1"/>
                <w:lang w:eastAsia="ja-JP"/>
              </w:rPr>
              <m:t>legacy</m:t>
            </m:r>
          </m:sub>
        </m:sSub>
        <m:r>
          <w:rPr>
            <w:rFonts w:ascii="Cambria Math" w:eastAsia="MS Mincho" w:hAnsi="Cambria Math"/>
            <w:color w:val="000000" w:themeColor="text1"/>
            <w:lang w:eastAsia="ja-JP"/>
          </w:rPr>
          <m:t>.</m:t>
        </m:r>
      </m:oMath>
      <w:r w:rsidR="00BA4AE5">
        <w:rPr>
          <w:rFonts w:eastAsia="MS Mincho"/>
          <w:iCs/>
          <w:color w:val="000000" w:themeColor="text1"/>
          <w:lang w:eastAsia="ja-JP"/>
        </w:rPr>
        <w:t xml:space="preserve"> For the 2-symbol sTTI operation, and under the same UE category, the maximum TBS is </w:t>
      </w:r>
      <m:oMath>
        <m:sSub>
          <m:sSubPr>
            <m:ctrlPr>
              <w:rPr>
                <w:rFonts w:ascii="Cambria Math" w:eastAsia="MS Mincho" w:hAnsi="Cambria Math"/>
                <w:i/>
                <w:iCs/>
                <w:color w:val="000000" w:themeColor="text1"/>
                <w:lang w:eastAsia="ja-JP"/>
              </w:rPr>
            </m:ctrlPr>
          </m:sSubPr>
          <m:e>
            <m:r>
              <w:rPr>
                <w:rFonts w:ascii="Cambria Math" w:eastAsia="MS Mincho" w:hAnsi="Cambria Math"/>
                <w:color w:val="000000" w:themeColor="text1"/>
                <w:lang w:eastAsia="ja-JP"/>
              </w:rPr>
              <m:t>T</m:t>
            </m:r>
          </m:e>
          <m:sub>
            <m:r>
              <w:rPr>
                <w:rFonts w:ascii="Cambria Math" w:eastAsia="MS Mincho" w:hAnsi="Cambria Math"/>
                <w:color w:val="000000" w:themeColor="text1"/>
                <w:lang w:eastAsia="ja-JP"/>
              </w:rPr>
              <m:t xml:space="preserve">sTTI  </m:t>
            </m:r>
          </m:sub>
        </m:sSub>
        <m:r>
          <w:rPr>
            <w:rFonts w:ascii="Cambria Math" w:eastAsia="MS Mincho" w:hAnsi="Cambria Math"/>
            <w:color w:val="000000" w:themeColor="text1"/>
            <w:lang w:eastAsia="ja-JP"/>
          </w:rPr>
          <m:t xml:space="preserve">= </m:t>
        </m:r>
        <m:sSub>
          <m:sSubPr>
            <m:ctrlPr>
              <w:rPr>
                <w:rFonts w:ascii="Cambria Math" w:eastAsia="MS Mincho" w:hAnsi="Cambria Math"/>
                <w:i/>
                <w:iCs/>
                <w:color w:val="000000" w:themeColor="text1"/>
                <w:lang w:eastAsia="ja-JP"/>
              </w:rPr>
            </m:ctrlPr>
          </m:sSubPr>
          <m:e>
            <m:r>
              <w:rPr>
                <w:rFonts w:ascii="Cambria Math" w:eastAsia="MS Mincho" w:hAnsi="Cambria Math"/>
                <w:color w:val="000000" w:themeColor="text1"/>
                <w:lang w:eastAsia="ja-JP"/>
              </w:rPr>
              <m:t>T</m:t>
            </m:r>
          </m:e>
          <m:sub>
            <m:r>
              <w:rPr>
                <w:rFonts w:ascii="Cambria Math" w:eastAsia="MS Mincho" w:hAnsi="Cambria Math"/>
                <w:color w:val="000000" w:themeColor="text1"/>
                <w:lang w:eastAsia="ja-JP"/>
              </w:rPr>
              <m:t>legacy</m:t>
            </m:r>
          </m:sub>
        </m:sSub>
        <m:r>
          <w:rPr>
            <w:rFonts w:ascii="Cambria Math" w:eastAsia="MS Mincho" w:hAnsi="Cambria Math"/>
            <w:color w:val="000000" w:themeColor="text1"/>
            <w:lang w:eastAsia="ja-JP"/>
          </w:rPr>
          <m:t>/6</m:t>
        </m:r>
      </m:oMath>
      <w:r w:rsidR="00434ADB">
        <w:rPr>
          <w:rFonts w:eastAsia="MS Mincho"/>
          <w:color w:val="000000" w:themeColor="text1"/>
          <w:lang w:eastAsia="ja-JP"/>
        </w:rPr>
        <w:t xml:space="preserve"> (same number of layers per codeword)</w:t>
      </w:r>
      <w:r w:rsidR="00803901">
        <w:rPr>
          <w:rFonts w:eastAsia="MS Mincho"/>
          <w:iCs/>
          <w:color w:val="000000" w:themeColor="text1"/>
          <w:lang w:eastAsia="ja-JP"/>
        </w:rPr>
        <w:t>.</w:t>
      </w:r>
      <w:r w:rsidR="00BA4AE5">
        <w:rPr>
          <w:rFonts w:eastAsia="MS Mincho"/>
          <w:iCs/>
          <w:color w:val="000000" w:themeColor="text1"/>
          <w:lang w:eastAsia="ja-JP"/>
        </w:rPr>
        <w:t xml:space="preserve"> Since </w:t>
      </w:r>
      <m:oMath>
        <m:r>
          <w:rPr>
            <w:rFonts w:ascii="Cambria Math" w:eastAsia="MS Mincho" w:hAnsi="Cambria Math"/>
            <w:color w:val="000000" w:themeColor="text1"/>
            <w:lang w:eastAsia="ja-JP"/>
          </w:rPr>
          <m:t xml:space="preserve"> </m:t>
        </m:r>
      </m:oMath>
      <w:r w:rsidR="00434ADB">
        <w:rPr>
          <w:rFonts w:eastAsia="MS Mincho"/>
          <w:color w:val="000000" w:themeColor="text1"/>
          <w:lang w:eastAsia="ja-JP"/>
        </w:rPr>
        <w:t xml:space="preserve">the size of coded stream is about </w:t>
      </w:r>
      <m:oMath>
        <m:r>
          <w:rPr>
            <w:rFonts w:ascii="Cambria Math" w:eastAsia="MS Mincho" w:hAnsi="Cambria Math"/>
            <w:color w:val="000000" w:themeColor="text1"/>
            <w:lang w:eastAsia="ja-JP"/>
          </w:rPr>
          <m:t>3×</m:t>
        </m:r>
        <m:sSub>
          <m:sSubPr>
            <m:ctrlPr>
              <w:rPr>
                <w:rFonts w:ascii="Cambria Math" w:eastAsia="MS Mincho" w:hAnsi="Cambria Math"/>
                <w:i/>
                <w:color w:val="000000" w:themeColor="text1"/>
                <w:lang w:eastAsia="ja-JP"/>
              </w:rPr>
            </m:ctrlPr>
          </m:sSubPr>
          <m:e>
            <m:r>
              <w:rPr>
                <w:rFonts w:ascii="Cambria Math" w:eastAsia="MS Mincho" w:hAnsi="Cambria Math"/>
                <w:color w:val="000000" w:themeColor="text1"/>
                <w:lang w:eastAsia="ja-JP"/>
              </w:rPr>
              <m:t>T</m:t>
            </m:r>
          </m:e>
          <m:sub>
            <m:r>
              <w:rPr>
                <w:rFonts w:ascii="Cambria Math" w:eastAsia="MS Mincho" w:hAnsi="Cambria Math"/>
                <w:color w:val="000000" w:themeColor="text1"/>
                <w:lang w:eastAsia="ja-JP"/>
              </w:rPr>
              <m:t>sTTI</m:t>
            </m:r>
          </m:sub>
        </m:sSub>
        <m:r>
          <w:rPr>
            <w:rFonts w:ascii="Cambria Math" w:eastAsia="MS Mincho" w:hAnsi="Cambria Math"/>
            <w:color w:val="000000" w:themeColor="text1"/>
            <w:lang w:eastAsia="ja-JP"/>
          </w:rPr>
          <m:t>=</m:t>
        </m:r>
        <m:sSub>
          <m:sSubPr>
            <m:ctrlPr>
              <w:rPr>
                <w:rFonts w:ascii="Cambria Math" w:eastAsia="MS Mincho" w:hAnsi="Cambria Math"/>
                <w:i/>
                <w:color w:val="000000" w:themeColor="text1"/>
                <w:lang w:eastAsia="ja-JP"/>
              </w:rPr>
            </m:ctrlPr>
          </m:sSubPr>
          <m:e>
            <m:r>
              <w:rPr>
                <w:rFonts w:ascii="Cambria Math" w:eastAsia="MS Mincho" w:hAnsi="Cambria Math"/>
                <w:color w:val="000000" w:themeColor="text1"/>
                <w:lang w:eastAsia="ja-JP"/>
              </w:rPr>
              <m:t>T</m:t>
            </m:r>
          </m:e>
          <m:sub>
            <m:r>
              <w:rPr>
                <w:rFonts w:ascii="Cambria Math" w:eastAsia="MS Mincho" w:hAnsi="Cambria Math"/>
                <w:color w:val="000000" w:themeColor="text1"/>
                <w:lang w:eastAsia="ja-JP"/>
              </w:rPr>
              <m:t>legacy</m:t>
            </m:r>
          </m:sub>
        </m:sSub>
        <m:r>
          <w:rPr>
            <w:rFonts w:ascii="Cambria Math" w:eastAsia="MS Mincho" w:hAnsi="Cambria Math"/>
            <w:color w:val="000000" w:themeColor="text1"/>
            <w:lang w:eastAsia="ja-JP"/>
          </w:rPr>
          <m:t>/2</m:t>
        </m:r>
      </m:oMath>
      <w:r w:rsidR="00434ADB">
        <w:rPr>
          <w:rFonts w:eastAsia="MS Mincho"/>
          <w:color w:val="000000" w:themeColor="text1"/>
          <w:lang w:eastAsia="ja-JP"/>
        </w:rPr>
        <w:t xml:space="preserve"> (plus CRC and </w:t>
      </w:r>
      <w:r w:rsidR="00D4106F">
        <w:rPr>
          <w:rFonts w:eastAsia="MS Mincho"/>
          <w:color w:val="000000" w:themeColor="text1"/>
          <w:lang w:eastAsia="ja-JP"/>
        </w:rPr>
        <w:t>dummy bits</w:t>
      </w:r>
      <w:r w:rsidR="00434ADB">
        <w:rPr>
          <w:rFonts w:eastAsia="MS Mincho"/>
          <w:color w:val="000000" w:themeColor="text1"/>
          <w:lang w:eastAsia="ja-JP"/>
        </w:rPr>
        <w:t>)</w:t>
      </w:r>
      <w:r w:rsidR="00D4106F">
        <w:rPr>
          <w:rFonts w:eastAsia="MS Mincho"/>
          <w:iCs/>
          <w:color w:val="000000" w:themeColor="text1"/>
          <w:lang w:eastAsia="ja-JP"/>
        </w:rPr>
        <w:t>,</w:t>
      </w:r>
      <w:r w:rsidR="00BA4AE5">
        <w:rPr>
          <w:rFonts w:eastAsia="MS Mincho"/>
          <w:iCs/>
          <w:color w:val="000000" w:themeColor="text1"/>
          <w:lang w:eastAsia="ja-JP"/>
        </w:rPr>
        <w:t xml:space="preserve"> smaller than </w:t>
      </w:r>
      <m:oMath>
        <m:sSub>
          <m:sSubPr>
            <m:ctrlPr>
              <w:rPr>
                <w:rFonts w:ascii="Cambria Math" w:eastAsia="MS Mincho" w:hAnsi="Cambria Math"/>
                <w:i/>
                <w:iCs/>
                <w:color w:val="000000" w:themeColor="text1"/>
                <w:lang w:eastAsia="ja-JP"/>
              </w:rPr>
            </m:ctrlPr>
          </m:sSubPr>
          <m:e>
            <m:r>
              <w:rPr>
                <w:rFonts w:ascii="Cambria Math" w:eastAsia="MS Mincho" w:hAnsi="Cambria Math"/>
                <w:color w:val="000000" w:themeColor="text1"/>
                <w:lang w:eastAsia="ja-JP"/>
              </w:rPr>
              <m:t>N</m:t>
            </m:r>
          </m:e>
          <m:sub>
            <m:r>
              <w:rPr>
                <w:rFonts w:ascii="Cambria Math" w:eastAsia="MS Mincho" w:hAnsi="Cambria Math"/>
                <w:color w:val="000000" w:themeColor="text1"/>
                <w:lang w:eastAsia="ja-JP"/>
              </w:rPr>
              <m:t>IR</m:t>
            </m:r>
          </m:sub>
        </m:sSub>
        <m:r>
          <w:rPr>
            <w:rFonts w:ascii="Cambria Math" w:eastAsia="MS Mincho" w:hAnsi="Cambria Math"/>
            <w:color w:val="000000" w:themeColor="text1"/>
            <w:lang w:eastAsia="ja-JP"/>
          </w:rPr>
          <m:t>,</m:t>
        </m:r>
      </m:oMath>
      <w:r w:rsidR="00BA4AE5">
        <w:rPr>
          <w:rFonts w:eastAsia="MS Mincho"/>
          <w:iCs/>
          <w:color w:val="000000" w:themeColor="text1"/>
          <w:lang w:eastAsia="ja-JP"/>
        </w:rPr>
        <w:t xml:space="preserve"> then the coding rate can be 1/3, which is better than the legacy operation. However, the downside of not scaling the </w:t>
      </w:r>
      <m:oMath>
        <m:sSub>
          <m:sSubPr>
            <m:ctrlPr>
              <w:rPr>
                <w:rFonts w:ascii="Cambria Math" w:eastAsia="MS Mincho" w:hAnsi="Cambria Math"/>
                <w:i/>
                <w:iCs/>
                <w:color w:val="000000" w:themeColor="text1"/>
                <w:lang w:eastAsia="ja-JP"/>
              </w:rPr>
            </m:ctrlPr>
          </m:sSubPr>
          <m:e>
            <m:r>
              <w:rPr>
                <w:rFonts w:ascii="Cambria Math" w:eastAsia="MS Mincho" w:hAnsi="Cambria Math"/>
                <w:color w:val="000000" w:themeColor="text1"/>
                <w:lang w:eastAsia="ja-JP"/>
              </w:rPr>
              <m:t>N</m:t>
            </m:r>
          </m:e>
          <m:sub>
            <m:r>
              <w:rPr>
                <w:rFonts w:ascii="Cambria Math" w:eastAsia="MS Mincho" w:hAnsi="Cambria Math"/>
                <w:color w:val="000000" w:themeColor="text1"/>
                <w:lang w:eastAsia="ja-JP"/>
              </w:rPr>
              <m:t>IR</m:t>
            </m:r>
          </m:sub>
        </m:sSub>
        <m:r>
          <w:rPr>
            <w:rFonts w:ascii="Cambria Math" w:eastAsia="MS Mincho" w:hAnsi="Cambria Math"/>
            <w:color w:val="000000" w:themeColor="text1"/>
            <w:lang w:eastAsia="ja-JP"/>
          </w:rPr>
          <m:t xml:space="preserve"> </m:t>
        </m:r>
      </m:oMath>
      <w:r>
        <w:rPr>
          <w:rFonts w:eastAsia="MS Mincho"/>
          <w:iCs/>
          <w:color w:val="000000" w:themeColor="text1"/>
          <w:lang w:eastAsia="ja-JP"/>
        </w:rPr>
        <w:t>is twofold</w:t>
      </w:r>
      <w:r w:rsidR="00BA4AE5">
        <w:rPr>
          <w:rFonts w:eastAsia="MS Mincho"/>
          <w:iCs/>
          <w:color w:val="000000" w:themeColor="text1"/>
          <w:lang w:eastAsia="ja-JP"/>
        </w:rPr>
        <w:t xml:space="preserve">: (1) For each 2-symbol HARQ processes, without scaling, </w:t>
      </w:r>
      <w:r w:rsidR="00803901">
        <w:rPr>
          <w:rFonts w:eastAsia="MS Mincho"/>
          <w:iCs/>
          <w:color w:val="000000" w:themeColor="text1"/>
          <w:lang w:eastAsia="ja-JP"/>
        </w:rPr>
        <w:t>the buffer size is</w:t>
      </w:r>
      <w:r w:rsidR="00D4106F">
        <w:rPr>
          <w:rFonts w:eastAsia="MS Mincho"/>
          <w:iCs/>
          <w:color w:val="000000" w:themeColor="text1"/>
          <w:lang w:eastAsia="ja-JP"/>
        </w:rPr>
        <w:t xml:space="preserve"> </w:t>
      </w:r>
      <w:r w:rsidR="00D4106F">
        <w:rPr>
          <w:rFonts w:eastAsia="MS Mincho"/>
          <w:color w:val="000000" w:themeColor="text1"/>
          <w:lang w:eastAsia="ja-JP"/>
        </w:rPr>
        <w:t xml:space="preserve">about </w:t>
      </w:r>
      <m:oMath>
        <m:r>
          <w:rPr>
            <w:rFonts w:ascii="Cambria Math" w:eastAsia="MS Mincho" w:hAnsi="Cambria Math"/>
            <w:color w:val="000000" w:themeColor="text1"/>
            <w:lang w:eastAsia="ja-JP"/>
          </w:rPr>
          <m:t>3</m:t>
        </m:r>
        <m:sSub>
          <m:sSubPr>
            <m:ctrlPr>
              <w:rPr>
                <w:rFonts w:ascii="Cambria Math" w:eastAsia="MS Mincho" w:hAnsi="Cambria Math"/>
                <w:i/>
                <w:color w:val="000000" w:themeColor="text1"/>
                <w:lang w:eastAsia="ja-JP"/>
              </w:rPr>
            </m:ctrlPr>
          </m:sSubPr>
          <m:e>
            <m:r>
              <w:rPr>
                <w:rFonts w:ascii="Cambria Math" w:eastAsia="MS Mincho" w:hAnsi="Cambria Math"/>
                <w:color w:val="000000" w:themeColor="text1"/>
                <w:lang w:eastAsia="ja-JP"/>
              </w:rPr>
              <m:t>T</m:t>
            </m:r>
          </m:e>
          <m:sub>
            <m:r>
              <w:rPr>
                <w:rFonts w:ascii="Cambria Math" w:eastAsia="MS Mincho" w:hAnsi="Cambria Math"/>
                <w:color w:val="000000" w:themeColor="text1"/>
                <w:lang w:eastAsia="ja-JP"/>
              </w:rPr>
              <m:t>sTTI</m:t>
            </m:r>
          </m:sub>
        </m:sSub>
      </m:oMath>
      <w:r w:rsidR="00803901">
        <w:rPr>
          <w:rFonts w:eastAsia="MS Mincho"/>
          <w:iCs/>
          <w:color w:val="000000" w:themeColor="text1"/>
          <w:lang w:eastAsia="ja-JP"/>
        </w:rPr>
        <w:t xml:space="preserve"> </w:t>
      </w:r>
      <w:r w:rsidR="00BA4AE5">
        <w:rPr>
          <w:rFonts w:eastAsia="MS Mincho"/>
          <w:iCs/>
          <w:color w:val="000000" w:themeColor="text1"/>
          <w:lang w:eastAsia="ja-JP"/>
        </w:rPr>
        <w:t xml:space="preserve"> </w:t>
      </w:r>
      <w:r w:rsidR="00803901">
        <w:rPr>
          <w:rFonts w:eastAsia="MS Mincho"/>
          <w:iCs/>
          <w:color w:val="000000" w:themeColor="text1"/>
          <w:lang w:eastAsia="ja-JP"/>
        </w:rPr>
        <w:t xml:space="preserve">. However, if the </w:t>
      </w:r>
      <m:oMath>
        <m:sSub>
          <m:sSubPr>
            <m:ctrlPr>
              <w:rPr>
                <w:rFonts w:ascii="Cambria Math" w:eastAsia="MS Mincho" w:hAnsi="Cambria Math"/>
                <w:i/>
                <w:iCs/>
                <w:color w:val="000000" w:themeColor="text1"/>
                <w:lang w:eastAsia="ja-JP"/>
              </w:rPr>
            </m:ctrlPr>
          </m:sSubPr>
          <m:e>
            <m:r>
              <w:rPr>
                <w:rFonts w:ascii="Cambria Math" w:eastAsia="MS Mincho" w:hAnsi="Cambria Math"/>
                <w:color w:val="000000" w:themeColor="text1"/>
                <w:lang w:eastAsia="ja-JP"/>
              </w:rPr>
              <m:t>N</m:t>
            </m:r>
          </m:e>
          <m:sub>
            <m:r>
              <w:rPr>
                <w:rFonts w:ascii="Cambria Math" w:eastAsia="MS Mincho" w:hAnsi="Cambria Math"/>
                <w:color w:val="000000" w:themeColor="text1"/>
                <w:lang w:eastAsia="ja-JP"/>
              </w:rPr>
              <m:t>IR</m:t>
            </m:r>
          </m:sub>
        </m:sSub>
      </m:oMath>
      <w:r w:rsidR="00803901">
        <w:rPr>
          <w:rFonts w:eastAsia="MS Mincho"/>
          <w:iCs/>
          <w:color w:val="000000" w:themeColor="text1"/>
          <w:lang w:eastAsia="ja-JP"/>
        </w:rPr>
        <w:t xml:space="preserve"> is scaled proportional to the TBS scaling, then the buffer size needed at the UE is</w:t>
      </w:r>
      <w:r w:rsidR="00D4106F">
        <w:rPr>
          <w:rFonts w:eastAsia="MS Mincho"/>
          <w:iCs/>
          <w:color w:val="000000" w:themeColor="text1"/>
          <w:lang w:eastAsia="ja-JP"/>
        </w:rPr>
        <w:t xml:space="preserve"> </w:t>
      </w:r>
      <w:r w:rsidR="00D4106F">
        <w:rPr>
          <w:rFonts w:eastAsia="MS Mincho"/>
          <w:color w:val="000000" w:themeColor="text1"/>
          <w:lang w:eastAsia="ja-JP"/>
        </w:rPr>
        <w:t xml:space="preserve">about </w:t>
      </w:r>
      <m:oMath>
        <m:r>
          <w:rPr>
            <w:rFonts w:ascii="Cambria Math" w:eastAsia="MS Mincho" w:hAnsi="Cambria Math"/>
            <w:color w:val="000000" w:themeColor="text1"/>
            <w:lang w:eastAsia="ja-JP"/>
          </w:rPr>
          <m:t>1.55</m:t>
        </m:r>
        <m:sSub>
          <m:sSubPr>
            <m:ctrlPr>
              <w:rPr>
                <w:rFonts w:ascii="Cambria Math" w:eastAsia="MS Mincho" w:hAnsi="Cambria Math"/>
                <w:i/>
                <w:color w:val="000000" w:themeColor="text1"/>
                <w:lang w:eastAsia="ja-JP"/>
              </w:rPr>
            </m:ctrlPr>
          </m:sSubPr>
          <m:e>
            <m:r>
              <w:rPr>
                <w:rFonts w:ascii="Cambria Math" w:eastAsia="MS Mincho" w:hAnsi="Cambria Math"/>
                <w:color w:val="000000" w:themeColor="text1"/>
                <w:lang w:eastAsia="ja-JP"/>
              </w:rPr>
              <m:t>T</m:t>
            </m:r>
          </m:e>
          <m:sub>
            <m:r>
              <w:rPr>
                <w:rFonts w:ascii="Cambria Math" w:eastAsia="MS Mincho" w:hAnsi="Cambria Math"/>
                <w:color w:val="000000" w:themeColor="text1"/>
                <w:lang w:eastAsia="ja-JP"/>
              </w:rPr>
              <m:t>sTTI</m:t>
            </m:r>
          </m:sub>
        </m:sSub>
      </m:oMath>
      <w:r w:rsidR="00803901">
        <w:rPr>
          <w:rFonts w:eastAsia="MS Mincho"/>
          <w:iCs/>
          <w:color w:val="000000" w:themeColor="text1"/>
          <w:lang w:eastAsia="ja-JP"/>
        </w:rPr>
        <w:t xml:space="preserve">. Given that both 1ms TTI and sTTI should be supported simultaneously, and the need for overbooking, the impact of the latter approach on the 1ms TTI is less significant. (2) For the legacy operation, the UE has to process </w:t>
      </w:r>
      <m:oMath>
        <m:sSub>
          <m:sSubPr>
            <m:ctrlPr>
              <w:rPr>
                <w:rFonts w:ascii="Cambria Math" w:eastAsia="MS Mincho" w:hAnsi="Cambria Math"/>
                <w:i/>
                <w:iCs/>
                <w:color w:val="000000" w:themeColor="text1"/>
                <w:lang w:eastAsia="ja-JP"/>
              </w:rPr>
            </m:ctrlPr>
          </m:sSubPr>
          <m:e>
            <m:r>
              <w:rPr>
                <w:rFonts w:ascii="Cambria Math" w:eastAsia="MS Mincho" w:hAnsi="Cambria Math"/>
                <w:color w:val="000000" w:themeColor="text1"/>
                <w:lang w:eastAsia="ja-JP"/>
              </w:rPr>
              <m:t>N</m:t>
            </m:r>
          </m:e>
          <m:sub>
            <m:r>
              <w:rPr>
                <w:rFonts w:ascii="Cambria Math" w:eastAsia="MS Mincho" w:hAnsi="Cambria Math"/>
                <w:color w:val="000000" w:themeColor="text1"/>
                <w:lang w:eastAsia="ja-JP"/>
              </w:rPr>
              <m:t>IR</m:t>
            </m:r>
          </m:sub>
        </m:sSub>
      </m:oMath>
      <w:r w:rsidR="00803901">
        <w:rPr>
          <w:rFonts w:eastAsia="MS Mincho"/>
          <w:iCs/>
          <w:color w:val="000000" w:themeColor="text1"/>
          <w:lang w:eastAsia="ja-JP"/>
        </w:rPr>
        <w:t xml:space="preserve"> soft channel bits per subframe. In sTTI, and without scaling, the UE has to process, </w:t>
      </w:r>
      <m:oMath>
        <m:sSub>
          <m:sSubPr>
            <m:ctrlPr>
              <w:rPr>
                <w:rFonts w:ascii="Cambria Math" w:eastAsia="MS Mincho" w:hAnsi="Cambria Math"/>
                <w:i/>
                <w:iCs/>
                <w:color w:val="000000" w:themeColor="text1"/>
                <w:lang w:eastAsia="ja-JP"/>
              </w:rPr>
            </m:ctrlPr>
          </m:sSubPr>
          <m:e>
            <m:r>
              <w:rPr>
                <w:rFonts w:ascii="Cambria Math" w:eastAsia="MS Mincho" w:hAnsi="Cambria Math"/>
                <w:color w:val="000000" w:themeColor="text1"/>
                <w:lang w:eastAsia="ja-JP"/>
              </w:rPr>
              <m:t>6* 3T</m:t>
            </m:r>
          </m:e>
          <m:sub>
            <m:r>
              <w:rPr>
                <w:rFonts w:ascii="Cambria Math" w:eastAsia="MS Mincho" w:hAnsi="Cambria Math"/>
                <w:color w:val="000000" w:themeColor="text1"/>
                <w:lang w:eastAsia="ja-JP"/>
              </w:rPr>
              <m:t>sTTI</m:t>
            </m:r>
          </m:sub>
        </m:sSub>
      </m:oMath>
      <w:r w:rsidR="00D4106F">
        <w:rPr>
          <w:rFonts w:eastAsia="MS Mincho"/>
          <w:color w:val="000000" w:themeColor="text1"/>
          <w:lang w:eastAsia="ja-JP"/>
        </w:rPr>
        <w:t xml:space="preserve">, or equivalently </w:t>
      </w:r>
      <m:oMath>
        <m:r>
          <w:rPr>
            <w:rFonts w:ascii="Cambria Math" w:eastAsia="MS Mincho" w:hAnsi="Cambria Math"/>
            <w:color w:val="000000" w:themeColor="text1"/>
            <w:lang w:eastAsia="ja-JP"/>
          </w:rPr>
          <m:t>3</m:t>
        </m:r>
        <m:sSub>
          <m:sSubPr>
            <m:ctrlPr>
              <w:rPr>
                <w:rFonts w:ascii="Cambria Math" w:eastAsia="MS Mincho" w:hAnsi="Cambria Math"/>
                <w:i/>
                <w:color w:val="000000" w:themeColor="text1"/>
                <w:lang w:eastAsia="ja-JP"/>
              </w:rPr>
            </m:ctrlPr>
          </m:sSubPr>
          <m:e>
            <m:r>
              <w:rPr>
                <w:rFonts w:ascii="Cambria Math" w:eastAsia="MS Mincho" w:hAnsi="Cambria Math"/>
                <w:color w:val="000000" w:themeColor="text1"/>
                <w:lang w:eastAsia="ja-JP"/>
              </w:rPr>
              <m:t>T</m:t>
            </m:r>
          </m:e>
          <m:sub>
            <m:r>
              <w:rPr>
                <w:rFonts w:ascii="Cambria Math" w:eastAsia="MS Mincho" w:hAnsi="Cambria Math"/>
                <w:color w:val="000000" w:themeColor="text1"/>
                <w:lang w:eastAsia="ja-JP"/>
              </w:rPr>
              <m:t>legacy</m:t>
            </m:r>
          </m:sub>
        </m:sSub>
      </m:oMath>
      <w:r w:rsidR="00D4106F">
        <w:rPr>
          <w:rFonts w:eastAsia="MS Mincho"/>
          <w:color w:val="000000" w:themeColor="text1"/>
          <w:lang w:eastAsia="ja-JP"/>
        </w:rPr>
        <w:t>,</w:t>
      </w:r>
      <w:r w:rsidR="00803901">
        <w:rPr>
          <w:rFonts w:eastAsia="MS Mincho"/>
          <w:iCs/>
          <w:color w:val="000000" w:themeColor="text1"/>
          <w:lang w:eastAsia="ja-JP"/>
        </w:rPr>
        <w:t xml:space="preserve"> soft channel bits, which is roughly twice as large as </w:t>
      </w:r>
      <m:oMath>
        <m:sSub>
          <m:sSubPr>
            <m:ctrlPr>
              <w:rPr>
                <w:rFonts w:ascii="Cambria Math" w:eastAsia="MS Mincho" w:hAnsi="Cambria Math"/>
                <w:i/>
                <w:iCs/>
                <w:color w:val="000000" w:themeColor="text1"/>
                <w:lang w:eastAsia="ja-JP"/>
              </w:rPr>
            </m:ctrlPr>
          </m:sSubPr>
          <m:e>
            <m:r>
              <w:rPr>
                <w:rFonts w:ascii="Cambria Math" w:eastAsia="MS Mincho" w:hAnsi="Cambria Math"/>
                <w:color w:val="000000" w:themeColor="text1"/>
                <w:lang w:eastAsia="ja-JP"/>
              </w:rPr>
              <m:t>N</m:t>
            </m:r>
          </m:e>
          <m:sub>
            <m:r>
              <w:rPr>
                <w:rFonts w:ascii="Cambria Math" w:eastAsia="MS Mincho" w:hAnsi="Cambria Math"/>
                <w:color w:val="000000" w:themeColor="text1"/>
                <w:lang w:eastAsia="ja-JP"/>
              </w:rPr>
              <m:t>IR</m:t>
            </m:r>
          </m:sub>
        </m:sSub>
      </m:oMath>
      <w:r w:rsidR="00803901">
        <w:rPr>
          <w:rFonts w:eastAsia="MS Mincho"/>
          <w:iCs/>
          <w:color w:val="000000" w:themeColor="text1"/>
          <w:lang w:eastAsia="ja-JP"/>
        </w:rPr>
        <w:t>. Hence, the processing burden for sTTI is 2x of that of the legacy operation per 1ms.</w:t>
      </w:r>
    </w:p>
    <w:p w14:paraId="53256E59" w14:textId="762D3B36" w:rsidR="00803901" w:rsidRDefault="00803901" w:rsidP="0084729C">
      <w:pPr>
        <w:jc w:val="both"/>
        <w:rPr>
          <w:rFonts w:eastAsia="MS Mincho"/>
          <w:iCs/>
          <w:color w:val="000000" w:themeColor="text1"/>
          <w:lang w:eastAsia="ja-JP"/>
        </w:rPr>
      </w:pPr>
      <w:r>
        <w:rPr>
          <w:rFonts w:eastAsia="MS Mincho"/>
          <w:iCs/>
          <w:color w:val="000000" w:themeColor="text1"/>
          <w:lang w:eastAsia="ja-JP"/>
        </w:rPr>
        <w:t>Considering the discussion above, we have that:</w:t>
      </w:r>
    </w:p>
    <w:p w14:paraId="40458D90" w14:textId="5DF89D3E" w:rsidR="00803901" w:rsidRPr="00803901" w:rsidRDefault="00CC5F39" w:rsidP="0084729C">
      <w:pPr>
        <w:jc w:val="both"/>
        <w:rPr>
          <w:rFonts w:eastAsia="MS Mincho"/>
          <w:b/>
          <w:bCs/>
          <w:iCs/>
          <w:color w:val="000000" w:themeColor="text1"/>
          <w:lang w:eastAsia="ja-JP"/>
        </w:rPr>
      </w:pPr>
      <w:r>
        <w:rPr>
          <w:rFonts w:eastAsia="MS Mincho"/>
          <w:b/>
          <w:bCs/>
          <w:iCs/>
          <w:color w:val="000000" w:themeColor="text1"/>
          <w:lang w:eastAsia="ja-JP"/>
        </w:rPr>
        <w:t>Proposal 3</w:t>
      </w:r>
      <w:r w:rsidR="00803901" w:rsidRPr="00803901">
        <w:rPr>
          <w:rFonts w:eastAsia="MS Mincho"/>
          <w:b/>
          <w:bCs/>
          <w:iCs/>
          <w:color w:val="000000" w:themeColor="text1"/>
          <w:lang w:eastAsia="ja-JP"/>
        </w:rPr>
        <w:t xml:space="preserve">: </w:t>
      </w:r>
      <w:r w:rsidR="00803901">
        <w:rPr>
          <w:rFonts w:eastAsia="MS Mincho"/>
          <w:b/>
          <w:bCs/>
          <w:iCs/>
          <w:color w:val="000000" w:themeColor="text1"/>
          <w:lang w:eastAsia="ja-JP"/>
        </w:rPr>
        <w:t xml:space="preserve">For the 2-symbol and 1-slot operations, the </w:t>
      </w:r>
      <m:oMath>
        <m:sSub>
          <m:sSubPr>
            <m:ctrlPr>
              <w:rPr>
                <w:rFonts w:ascii="Cambria Math" w:eastAsia="MS Mincho" w:hAnsi="Cambria Math"/>
                <w:b/>
                <w:bCs/>
                <w:i/>
                <w:iCs/>
                <w:color w:val="000000" w:themeColor="text1"/>
                <w:lang w:eastAsia="ja-JP"/>
              </w:rPr>
            </m:ctrlPr>
          </m:sSubPr>
          <m:e>
            <m:r>
              <m:rPr>
                <m:sty m:val="bi"/>
              </m:rPr>
              <w:rPr>
                <w:rFonts w:ascii="Cambria Math" w:eastAsia="MS Mincho" w:hAnsi="Cambria Math"/>
                <w:color w:val="000000" w:themeColor="text1"/>
                <w:lang w:eastAsia="ja-JP"/>
              </w:rPr>
              <m:t>N</m:t>
            </m:r>
          </m:e>
          <m:sub>
            <m:r>
              <m:rPr>
                <m:sty m:val="bi"/>
              </m:rPr>
              <w:rPr>
                <w:rFonts w:ascii="Cambria Math" w:eastAsia="MS Mincho" w:hAnsi="Cambria Math"/>
                <w:color w:val="000000" w:themeColor="text1"/>
                <w:lang w:eastAsia="ja-JP"/>
              </w:rPr>
              <m:t>IR</m:t>
            </m:r>
          </m:sub>
        </m:sSub>
      </m:oMath>
      <w:r w:rsidR="00803901">
        <w:rPr>
          <w:rFonts w:eastAsia="MS Mincho"/>
          <w:b/>
          <w:bCs/>
          <w:iCs/>
          <w:color w:val="000000" w:themeColor="text1"/>
          <w:lang w:eastAsia="ja-JP"/>
        </w:rPr>
        <w:t xml:space="preserve"> should be scaled by a factor of 1/6 and 1/2, respectively.</w:t>
      </w:r>
    </w:p>
    <w:p w14:paraId="45789145" w14:textId="5F2201DC" w:rsidR="00D84E06" w:rsidRDefault="00803901" w:rsidP="0084729C">
      <w:pPr>
        <w:jc w:val="both"/>
        <w:rPr>
          <w:bCs/>
          <w:iCs/>
          <w:color w:val="000000" w:themeColor="text1"/>
          <w:lang w:eastAsia="ja-JP"/>
        </w:rPr>
      </w:pPr>
      <w:r w:rsidRPr="00803901">
        <w:rPr>
          <w:bCs/>
          <w:iCs/>
          <w:color w:val="000000" w:themeColor="text1"/>
        </w:rPr>
        <w:t xml:space="preserve">When the </w:t>
      </w:r>
      <m:oMath>
        <m:sSub>
          <m:sSubPr>
            <m:ctrlPr>
              <w:rPr>
                <w:rFonts w:ascii="Cambria Math" w:eastAsia="MS Mincho" w:hAnsi="Cambria Math"/>
                <w:bCs/>
                <w:i/>
                <w:iCs/>
                <w:color w:val="000000" w:themeColor="text1"/>
                <w:lang w:eastAsia="ja-JP"/>
              </w:rPr>
            </m:ctrlPr>
          </m:sSubPr>
          <m:e>
            <m:r>
              <w:rPr>
                <w:rFonts w:ascii="Cambria Math" w:eastAsia="MS Mincho" w:hAnsi="Cambria Math"/>
                <w:color w:val="000000" w:themeColor="text1"/>
                <w:lang w:eastAsia="ja-JP"/>
              </w:rPr>
              <m:t>N</m:t>
            </m:r>
          </m:e>
          <m:sub>
            <m:r>
              <w:rPr>
                <w:rFonts w:ascii="Cambria Math" w:eastAsia="MS Mincho" w:hAnsi="Cambria Math"/>
                <w:color w:val="000000" w:themeColor="text1"/>
                <w:lang w:eastAsia="ja-JP"/>
              </w:rPr>
              <m:t>IR</m:t>
            </m:r>
          </m:sub>
        </m:sSub>
      </m:oMath>
      <w:r>
        <w:rPr>
          <w:bCs/>
          <w:iCs/>
          <w:color w:val="000000" w:themeColor="text1"/>
          <w:lang w:eastAsia="ja-JP"/>
        </w:rPr>
        <w:t xml:space="preserve"> is scaled, the special handling is required in case a failed TB has to be re-transmitted via a different TTI. </w:t>
      </w:r>
      <w:r w:rsidR="003A5B57" w:rsidRPr="003A5B57">
        <w:rPr>
          <w:bCs/>
          <w:iCs/>
          <w:color w:val="000000" w:themeColor="text1"/>
          <w:lang w:eastAsia="ja-JP"/>
        </w:rPr>
        <w:t xml:space="preserve">As an example, the first transmission can use the sTTI with soft buffer size of </w:t>
      </w:r>
      <m:oMath>
        <m:sSubSup>
          <m:sSubSupPr>
            <m:ctrlPr>
              <w:rPr>
                <w:rFonts w:ascii="Cambria Math" w:hAnsi="Cambria Math"/>
                <w:bCs/>
                <w:i/>
                <w:iCs/>
                <w:color w:val="000000" w:themeColor="text1"/>
                <w:lang w:eastAsia="ja-JP"/>
              </w:rPr>
            </m:ctrlPr>
          </m:sSubSupPr>
          <m:e>
            <m:r>
              <w:rPr>
                <w:rFonts w:ascii="Cambria Math" w:hAnsi="Cambria Math"/>
                <w:color w:val="000000" w:themeColor="text1"/>
                <w:lang w:eastAsia="ja-JP"/>
              </w:rPr>
              <m:t>N</m:t>
            </m:r>
          </m:e>
          <m:sub>
            <m:r>
              <w:rPr>
                <w:rFonts w:ascii="Cambria Math" w:hAnsi="Cambria Math"/>
                <w:color w:val="000000" w:themeColor="text1"/>
                <w:lang w:eastAsia="ja-JP"/>
              </w:rPr>
              <m:t>IR</m:t>
            </m:r>
          </m:sub>
          <m:sup>
            <m:r>
              <w:rPr>
                <w:rFonts w:ascii="Cambria Math" w:hAnsi="Cambria Math"/>
                <w:color w:val="000000" w:themeColor="text1"/>
                <w:lang w:eastAsia="ja-JP"/>
              </w:rPr>
              <m:t>sTTI</m:t>
            </m:r>
          </m:sup>
        </m:sSubSup>
      </m:oMath>
      <w:r w:rsidR="00CC5F39">
        <w:rPr>
          <w:bCs/>
          <w:iCs/>
          <w:color w:val="000000" w:themeColor="text1"/>
          <w:lang w:eastAsia="ja-JP"/>
        </w:rPr>
        <w:t>,</w:t>
      </w:r>
      <w:r w:rsidR="003A5B57" w:rsidRPr="003A5B57">
        <w:rPr>
          <w:bCs/>
          <w:iCs/>
          <w:color w:val="000000" w:themeColor="text1"/>
          <w:lang w:eastAsia="ja-JP"/>
        </w:rPr>
        <w:t xml:space="preserve"> while the second transmission can use the 1ms TTI with</w:t>
      </w:r>
      <w:r w:rsidR="00CC5F39">
        <w:rPr>
          <w:bCs/>
          <w:iCs/>
          <w:color w:val="000000" w:themeColor="text1"/>
          <w:lang w:eastAsia="ja-JP"/>
        </w:rPr>
        <w:t xml:space="preserve"> p</w:t>
      </w:r>
      <w:r w:rsidR="00D4106F">
        <w:rPr>
          <w:bCs/>
          <w:iCs/>
          <w:color w:val="000000" w:themeColor="text1"/>
          <w:lang w:eastAsia="ja-JP"/>
        </w:rPr>
        <w:t>er TB</w:t>
      </w:r>
      <w:r w:rsidR="003A5B57" w:rsidRPr="003A5B57">
        <w:rPr>
          <w:bCs/>
          <w:iCs/>
          <w:color w:val="000000" w:themeColor="text1"/>
          <w:lang w:eastAsia="ja-JP"/>
        </w:rPr>
        <w:t xml:space="preserve"> soft buffer size of </w:t>
      </w:r>
      <m:oMath>
        <m:sSub>
          <m:sSubPr>
            <m:ctrlPr>
              <w:rPr>
                <w:rFonts w:ascii="Cambria Math" w:eastAsia="MS Mincho" w:hAnsi="Cambria Math"/>
                <w:bCs/>
                <w:i/>
                <w:iCs/>
                <w:color w:val="000000" w:themeColor="text1"/>
                <w:lang w:eastAsia="ja-JP"/>
              </w:rPr>
            </m:ctrlPr>
          </m:sSubPr>
          <m:e>
            <m:r>
              <w:rPr>
                <w:rFonts w:ascii="Cambria Math" w:eastAsia="MS Mincho" w:hAnsi="Cambria Math"/>
                <w:color w:val="000000" w:themeColor="text1"/>
                <w:lang w:eastAsia="ja-JP"/>
              </w:rPr>
              <m:t>N</m:t>
            </m:r>
          </m:e>
          <m:sub>
            <m:r>
              <w:rPr>
                <w:rFonts w:ascii="Cambria Math" w:eastAsia="MS Mincho" w:hAnsi="Cambria Math"/>
                <w:color w:val="000000" w:themeColor="text1"/>
                <w:lang w:eastAsia="ja-JP"/>
              </w:rPr>
              <m:t>IR</m:t>
            </m:r>
          </m:sub>
        </m:sSub>
        <m:r>
          <w:rPr>
            <w:rFonts w:ascii="Cambria Math" w:eastAsia="MS Mincho" w:hAnsi="Cambria Math"/>
            <w:color w:val="000000" w:themeColor="text1"/>
            <w:lang w:eastAsia="ja-JP"/>
          </w:rPr>
          <m:t>.</m:t>
        </m:r>
      </m:oMath>
      <w:r w:rsidR="003A5B57">
        <w:rPr>
          <w:bCs/>
          <w:iCs/>
          <w:color w:val="000000" w:themeColor="text1"/>
          <w:lang w:eastAsia="ja-JP"/>
        </w:rPr>
        <w:t xml:space="preserve"> In such scenarios, the eNB and the UE should agree upon the rate-matching circular buffer sizing. </w:t>
      </w:r>
    </w:p>
    <w:p w14:paraId="362E055F" w14:textId="4FCF5A3B" w:rsidR="003A5B57" w:rsidRDefault="00CC5F39" w:rsidP="0084729C">
      <w:pPr>
        <w:jc w:val="both"/>
        <w:rPr>
          <w:b/>
          <w:iCs/>
          <w:color w:val="000000" w:themeColor="text1"/>
          <w:lang w:eastAsia="ja-JP"/>
        </w:rPr>
      </w:pPr>
      <w:r>
        <w:rPr>
          <w:b/>
          <w:iCs/>
          <w:color w:val="000000" w:themeColor="text1"/>
          <w:lang w:eastAsia="ja-JP"/>
        </w:rPr>
        <w:t>Proposal 4</w:t>
      </w:r>
      <w:r w:rsidR="003A5B57" w:rsidRPr="003A5B57">
        <w:rPr>
          <w:b/>
          <w:iCs/>
          <w:color w:val="000000" w:themeColor="text1"/>
          <w:lang w:eastAsia="ja-JP"/>
        </w:rPr>
        <w:t>: The rate-matching soft buffer size is determined based on the TTI length of the initial transmission.</w:t>
      </w:r>
    </w:p>
    <w:p w14:paraId="798DFC9B" w14:textId="271B5716" w:rsidR="003A5B57" w:rsidRDefault="003A5B57" w:rsidP="0084729C">
      <w:pPr>
        <w:jc w:val="both"/>
        <w:rPr>
          <w:bCs/>
          <w:iCs/>
          <w:color w:val="000000" w:themeColor="text1"/>
          <w:lang w:eastAsia="ja-JP"/>
        </w:rPr>
      </w:pPr>
      <w:r w:rsidRPr="003A5B57">
        <w:rPr>
          <w:bCs/>
          <w:iCs/>
          <w:color w:val="000000" w:themeColor="text1"/>
          <w:lang w:eastAsia="ja-JP"/>
        </w:rPr>
        <w:t>Finally, the HARQ buffer should be properly manag</w:t>
      </w:r>
      <w:r>
        <w:rPr>
          <w:bCs/>
          <w:iCs/>
          <w:color w:val="000000" w:themeColor="text1"/>
          <w:lang w:eastAsia="ja-JP"/>
        </w:rPr>
        <w:t xml:space="preserve">ed across different TTI lengths considering the fact that one TB may be transmitted via different TTI lengths. First, the number of HARQ processes for the sTTI operation is derived according to the processing timing, i.e., 8 HARQ processes for </w:t>
      </w:r>
      <m:oMath>
        <m:r>
          <w:rPr>
            <w:rFonts w:ascii="Cambria Math" w:hAnsi="Cambria Math"/>
            <w:color w:val="000000" w:themeColor="text1"/>
            <w:lang w:eastAsia="ja-JP"/>
          </w:rPr>
          <m:t>n+4</m:t>
        </m:r>
      </m:oMath>
      <w:r>
        <w:rPr>
          <w:bCs/>
          <w:iCs/>
          <w:color w:val="000000" w:themeColor="text1"/>
          <w:lang w:eastAsia="ja-JP"/>
        </w:rPr>
        <w:t xml:space="preserve">, 12 HARQ processes for </w:t>
      </w:r>
      <m:oMath>
        <m:r>
          <w:rPr>
            <w:rFonts w:ascii="Cambria Math" w:hAnsi="Cambria Math"/>
            <w:color w:val="000000" w:themeColor="text1"/>
            <w:lang w:eastAsia="ja-JP"/>
          </w:rPr>
          <m:t>n+6</m:t>
        </m:r>
      </m:oMath>
      <w:r>
        <w:rPr>
          <w:bCs/>
          <w:iCs/>
          <w:color w:val="000000" w:themeColor="text1"/>
          <w:lang w:eastAsia="ja-JP"/>
        </w:rPr>
        <w:t xml:space="preserve">, and 16 HARQ processes for </w:t>
      </w:r>
      <m:oMath>
        <m:r>
          <w:rPr>
            <w:rFonts w:ascii="Cambria Math" w:hAnsi="Cambria Math"/>
            <w:color w:val="000000" w:themeColor="text1"/>
            <w:lang w:eastAsia="ja-JP"/>
          </w:rPr>
          <m:t>n+8</m:t>
        </m:r>
      </m:oMath>
      <w:r>
        <w:rPr>
          <w:bCs/>
          <w:iCs/>
          <w:color w:val="000000" w:themeColor="text1"/>
          <w:lang w:eastAsia="ja-JP"/>
        </w:rPr>
        <w:t xml:space="preserve"> timelines should be considered.</w:t>
      </w:r>
    </w:p>
    <w:p w14:paraId="5EE8A8B4" w14:textId="613905EF" w:rsidR="003A5B57" w:rsidRDefault="00CC5F39" w:rsidP="0084729C">
      <w:pPr>
        <w:jc w:val="both"/>
        <w:rPr>
          <w:b/>
          <w:iCs/>
          <w:color w:val="000000" w:themeColor="text1"/>
          <w:lang w:eastAsia="ja-JP"/>
        </w:rPr>
      </w:pPr>
      <w:r>
        <w:rPr>
          <w:b/>
          <w:iCs/>
          <w:color w:val="000000" w:themeColor="text1"/>
          <w:lang w:eastAsia="ja-JP"/>
        </w:rPr>
        <w:t>Proposal 5</w:t>
      </w:r>
      <w:r w:rsidR="003A5B57" w:rsidRPr="003A5B57">
        <w:rPr>
          <w:b/>
          <w:iCs/>
          <w:color w:val="000000" w:themeColor="text1"/>
          <w:lang w:eastAsia="ja-JP"/>
        </w:rPr>
        <w:t xml:space="preserve">: The number of HARQ processes under the sTTI operation is </w:t>
      </w:r>
      <m:oMath>
        <m:r>
          <m:rPr>
            <m:sty m:val="bi"/>
          </m:rPr>
          <w:rPr>
            <w:rFonts w:ascii="Cambria Math" w:hAnsi="Cambria Math"/>
            <w:color w:val="000000" w:themeColor="text1"/>
            <w:lang w:eastAsia="ja-JP"/>
          </w:rPr>
          <m:t>2</m:t>
        </m:r>
        <m:r>
          <m:rPr>
            <m:sty m:val="bi"/>
          </m:rPr>
          <w:rPr>
            <w:rFonts w:ascii="Cambria Math" w:hAnsi="Cambria Math"/>
            <w:color w:val="000000" w:themeColor="text1"/>
            <w:lang w:eastAsia="ja-JP"/>
          </w:rPr>
          <m:t>k</m:t>
        </m:r>
      </m:oMath>
      <w:r w:rsidR="003A5B57" w:rsidRPr="003A5B57">
        <w:rPr>
          <w:b/>
          <w:iCs/>
          <w:color w:val="000000" w:themeColor="text1"/>
          <w:lang w:eastAsia="ja-JP"/>
        </w:rPr>
        <w:t xml:space="preserve"> when the processing timeline is </w:t>
      </w:r>
      <m:oMath>
        <m:r>
          <m:rPr>
            <m:sty m:val="bi"/>
          </m:rPr>
          <w:rPr>
            <w:rFonts w:ascii="Cambria Math" w:hAnsi="Cambria Math"/>
            <w:color w:val="000000" w:themeColor="text1"/>
            <w:lang w:eastAsia="ja-JP"/>
          </w:rPr>
          <m:t>n+k</m:t>
        </m:r>
      </m:oMath>
      <w:r w:rsidR="003A5B57" w:rsidRPr="003A5B57">
        <w:rPr>
          <w:b/>
          <w:iCs/>
          <w:color w:val="000000" w:themeColor="text1"/>
          <w:lang w:eastAsia="ja-JP"/>
        </w:rPr>
        <w:t>.</w:t>
      </w:r>
    </w:p>
    <w:p w14:paraId="23196C5A" w14:textId="29A5138A" w:rsidR="004F0F92" w:rsidRDefault="003A5B57" w:rsidP="00DE7550">
      <w:pPr>
        <w:jc w:val="both"/>
        <w:rPr>
          <w:bCs/>
          <w:iCs/>
          <w:color w:val="000000" w:themeColor="text1"/>
          <w:lang w:eastAsia="ja-JP"/>
        </w:rPr>
      </w:pPr>
      <w:r w:rsidRPr="0064145D">
        <w:rPr>
          <w:bCs/>
          <w:iCs/>
          <w:color w:val="000000" w:themeColor="text1"/>
          <w:lang w:eastAsia="ja-JP"/>
        </w:rPr>
        <w:t>When HARQ process sharing is supported, then the 1ms TTI operation should have the same number of HARQ processes as that of the sTTI operation.</w:t>
      </w:r>
      <w:r w:rsidR="001A66FC">
        <w:rPr>
          <w:bCs/>
          <w:iCs/>
          <w:color w:val="000000" w:themeColor="text1"/>
          <w:lang w:eastAsia="ja-JP"/>
        </w:rPr>
        <w:t xml:space="preserve"> The same as the legacy operation, 8 soft buffers can be considered. Also, assuming that </w:t>
      </w:r>
      <m:oMath>
        <m:sSub>
          <m:sSubPr>
            <m:ctrlPr>
              <w:rPr>
                <w:rFonts w:ascii="Cambria Math" w:eastAsia="MS Mincho" w:hAnsi="Cambria Math"/>
                <w:bCs/>
                <w:i/>
                <w:iCs/>
                <w:color w:val="000000" w:themeColor="text1"/>
                <w:lang w:eastAsia="ja-JP"/>
              </w:rPr>
            </m:ctrlPr>
          </m:sSubPr>
          <m:e>
            <m:r>
              <w:rPr>
                <w:rFonts w:ascii="Cambria Math" w:eastAsia="MS Mincho" w:hAnsi="Cambria Math"/>
                <w:color w:val="000000" w:themeColor="text1"/>
                <w:lang w:eastAsia="ja-JP"/>
              </w:rPr>
              <m:t>N</m:t>
            </m:r>
          </m:e>
          <m:sub>
            <m:r>
              <w:rPr>
                <w:rFonts w:ascii="Cambria Math" w:eastAsia="MS Mincho" w:hAnsi="Cambria Math"/>
                <w:color w:val="000000" w:themeColor="text1"/>
                <w:lang w:eastAsia="ja-JP"/>
              </w:rPr>
              <m:t>IR</m:t>
            </m:r>
          </m:sub>
        </m:sSub>
      </m:oMath>
      <w:r w:rsidR="001A66FC">
        <w:rPr>
          <w:bCs/>
          <w:iCs/>
          <w:color w:val="000000" w:themeColor="text1"/>
          <w:lang w:eastAsia="ja-JP"/>
        </w:rPr>
        <w:t xml:space="preserve"> will be scaled proportional to the TB scaling for sTTI, each legacy soft buffer can accommodate two 1-slot soft buffers and 6 2-symbol soft buffers. </w:t>
      </w:r>
      <w:bookmarkStart w:id="4" w:name="_GoBack"/>
      <w:bookmarkEnd w:id="4"/>
      <w:r w:rsidR="006C17FF">
        <w:rPr>
          <w:bCs/>
          <w:iCs/>
          <w:color w:val="000000" w:themeColor="text1"/>
          <w:lang w:eastAsia="ja-JP"/>
        </w:rPr>
        <w:t xml:space="preserve">Let us </w:t>
      </w:r>
      <w:r w:rsidR="00DE7550">
        <w:rPr>
          <w:bCs/>
          <w:iCs/>
          <w:color w:val="000000" w:themeColor="text1"/>
          <w:lang w:eastAsia="ja-JP"/>
        </w:rPr>
        <w:t xml:space="preserve">consider </w:t>
      </w:r>
      <w:r w:rsidR="00DE7550">
        <w:rPr>
          <w:bCs/>
          <w:iCs/>
          <w:color w:val="000000" w:themeColor="text1"/>
          <w:lang w:eastAsia="ja-JP"/>
        </w:rPr>
        <w:t>the 2-symbol sTTI operation with n+6 timeline</w:t>
      </w:r>
      <w:r w:rsidR="00DE7550">
        <w:rPr>
          <w:bCs/>
          <w:iCs/>
          <w:color w:val="000000" w:themeColor="text1"/>
          <w:lang w:eastAsia="ja-JP"/>
        </w:rPr>
        <w:t>. A</w:t>
      </w:r>
      <w:r w:rsidR="006C17FF">
        <w:rPr>
          <w:bCs/>
          <w:iCs/>
          <w:color w:val="000000" w:themeColor="text1"/>
          <w:lang w:eastAsia="ja-JP"/>
        </w:rPr>
        <w:t xml:space="preserve">ssume that </w:t>
      </w:r>
      <w:r w:rsidR="002277F8">
        <w:rPr>
          <w:bCs/>
          <w:iCs/>
          <w:color w:val="000000" w:themeColor="text1"/>
          <w:lang w:eastAsia="ja-JP"/>
        </w:rPr>
        <w:t xml:space="preserve">a TB with HARQ process ID 11 is sent initially using a 2-symbol sTTI. If the TB fails decoding, the soft channel bits will be stored in soft buffer indexed 11. The same TB may be re-transmitted via a 1ms TTI. In such a case, the new LLRs will be combined with the previous ones, and stored in the sTTI buffer indexed 11 again. As another example, assume that all the legacy buffers are taken. A new TB is sent using a 2-symbol sTTI, and fails decoding. In such a case, the UE should be flushed out one of the legacy buffers in order to be able to store the sTTI LLRs. The selection of the legacy buffer to be flushed out is up to the UE implementation. If there is a free legacy buffer, the stored legacy LLRs associated with other active HARQ processes will not be impacted. </w:t>
      </w:r>
    </w:p>
    <w:p w14:paraId="75CF6C30" w14:textId="48B6B386" w:rsidR="002277F8" w:rsidRDefault="002277F8" w:rsidP="002277F8">
      <w:pPr>
        <w:jc w:val="both"/>
        <w:rPr>
          <w:bCs/>
          <w:iCs/>
          <w:color w:val="000000" w:themeColor="text1"/>
          <w:lang w:eastAsia="ja-JP"/>
        </w:rPr>
      </w:pPr>
      <w:r>
        <w:rPr>
          <w:bCs/>
          <w:iCs/>
          <w:color w:val="000000" w:themeColor="text1"/>
          <w:lang w:eastAsia="ja-JP"/>
        </w:rPr>
        <w:t xml:space="preserve">The dynamic HARQ sharing explained above (1) does not impact the legacy operation if there is no ongoing sTTI traffic, and (2) allows for HARQ sharing across different TTI lengths. </w:t>
      </w:r>
    </w:p>
    <w:p w14:paraId="5DFF009C" w14:textId="698B29EA" w:rsidR="002277F8" w:rsidRPr="002277F8" w:rsidRDefault="002277F8" w:rsidP="0084729C">
      <w:pPr>
        <w:jc w:val="both"/>
        <w:rPr>
          <w:b/>
          <w:iCs/>
          <w:color w:val="000000" w:themeColor="text1"/>
          <w:lang w:eastAsia="ja-JP"/>
        </w:rPr>
      </w:pPr>
      <w:r w:rsidRPr="002277F8">
        <w:rPr>
          <w:b/>
          <w:iCs/>
          <w:color w:val="000000" w:themeColor="text1"/>
          <w:lang w:eastAsia="ja-JP"/>
        </w:rPr>
        <w:t>P</w:t>
      </w:r>
      <w:r w:rsidR="00CC5F39">
        <w:rPr>
          <w:b/>
          <w:iCs/>
          <w:color w:val="000000" w:themeColor="text1"/>
          <w:lang w:eastAsia="ja-JP"/>
        </w:rPr>
        <w:t>roposal 6</w:t>
      </w:r>
      <w:r w:rsidRPr="002277F8">
        <w:rPr>
          <w:b/>
          <w:iCs/>
          <w:color w:val="000000" w:themeColor="text1"/>
          <w:lang w:eastAsia="ja-JP"/>
        </w:rPr>
        <w:t>: The dynamic HARQ management is supported under the sTTI operation.</w:t>
      </w:r>
    </w:p>
    <w:p w14:paraId="1F5F7DF6" w14:textId="28A1F761" w:rsidR="00CC5F39" w:rsidRDefault="00CC5F39" w:rsidP="00CC5F39">
      <w:pPr>
        <w:jc w:val="both"/>
        <w:rPr>
          <w:rFonts w:ascii="Arial" w:hAnsi="Arial"/>
          <w:sz w:val="36"/>
          <w:lang w:val="en-GB"/>
        </w:rPr>
      </w:pPr>
      <w:r>
        <w:rPr>
          <w:b/>
          <w:iCs/>
          <w:color w:val="000000" w:themeColor="text1"/>
          <w:lang w:eastAsia="ja-JP"/>
        </w:rPr>
        <w:lastRenderedPageBreak/>
        <w:t>Proposal 7</w:t>
      </w:r>
      <w:r w:rsidR="00000BA6">
        <w:rPr>
          <w:b/>
          <w:iCs/>
          <w:color w:val="000000" w:themeColor="text1"/>
          <w:lang w:eastAsia="ja-JP"/>
        </w:rPr>
        <w:t xml:space="preserve">: </w:t>
      </w:r>
      <w:r w:rsidR="00A62D0F">
        <w:rPr>
          <w:b/>
          <w:iCs/>
          <w:color w:val="000000" w:themeColor="text1"/>
          <w:lang w:eastAsia="ja-JP"/>
        </w:rPr>
        <w:t>If the new TB fails decoding</w:t>
      </w:r>
      <w:r w:rsidR="00000BA6">
        <w:rPr>
          <w:b/>
          <w:iCs/>
          <w:color w:val="000000" w:themeColor="text1"/>
          <w:lang w:eastAsia="ja-JP"/>
        </w:rPr>
        <w:t xml:space="preserve">, in case all HARQ buffers are occupied, then </w:t>
      </w:r>
      <w:r w:rsidR="00C154B6">
        <w:rPr>
          <w:b/>
          <w:iCs/>
          <w:color w:val="000000" w:themeColor="text1"/>
          <w:lang w:eastAsia="ja-JP"/>
        </w:rPr>
        <w:t xml:space="preserve">the selection of the HARQ buffer for storing soft channel bits is up to UE’s implementation. </w:t>
      </w:r>
      <w:r w:rsidR="00000BA6">
        <w:rPr>
          <w:b/>
          <w:iCs/>
          <w:color w:val="000000" w:themeColor="text1"/>
          <w:lang w:eastAsia="ja-JP"/>
        </w:rPr>
        <w:t xml:space="preserve"> </w:t>
      </w:r>
      <w:r w:rsidR="002277F8" w:rsidRPr="002277F8">
        <w:rPr>
          <w:rFonts w:ascii="Arial" w:hAnsi="Arial"/>
          <w:sz w:val="36"/>
          <w:lang w:val="en-GB"/>
        </w:rPr>
        <w:t xml:space="preserve"> </w:t>
      </w:r>
    </w:p>
    <w:p w14:paraId="689BFFBB" w14:textId="05638D58" w:rsidR="00CC5F39" w:rsidRDefault="00CC5F39" w:rsidP="00CC5F39">
      <w:pPr>
        <w:jc w:val="both"/>
        <w:rPr>
          <w:rFonts w:asciiTheme="majorBidi" w:hAnsiTheme="majorBidi" w:cstheme="majorBidi"/>
          <w:szCs w:val="10"/>
          <w:lang w:val="en-GB"/>
        </w:rPr>
      </w:pPr>
      <w:r>
        <w:rPr>
          <w:rFonts w:asciiTheme="majorBidi" w:hAnsiTheme="majorBidi" w:cstheme="majorBidi"/>
          <w:szCs w:val="10"/>
          <w:lang w:val="en-GB"/>
        </w:rPr>
        <w:t>Regarding the additional issues with the HARQ sharing across different TTI lengths, it should be noted that the re-transmission of a TB with another (s) TTI is possible if the TB size of a codeword is no larger than the TB size of the sTTI, i.e., X in the previous agreement should represent the maximum TBS of the sTTI.</w:t>
      </w:r>
    </w:p>
    <w:p w14:paraId="00C6ED22" w14:textId="4FDE341F" w:rsidR="00CC5F39" w:rsidRDefault="00CC5F39" w:rsidP="00CC5F39">
      <w:pPr>
        <w:jc w:val="both"/>
        <w:rPr>
          <w:rFonts w:asciiTheme="majorBidi" w:hAnsiTheme="majorBidi" w:cstheme="majorBidi"/>
          <w:b/>
          <w:bCs/>
          <w:szCs w:val="10"/>
          <w:lang w:val="en-GB"/>
        </w:rPr>
      </w:pPr>
      <w:r w:rsidRPr="00CC5F39">
        <w:rPr>
          <w:rFonts w:asciiTheme="majorBidi" w:hAnsiTheme="majorBidi" w:cstheme="majorBidi"/>
          <w:b/>
          <w:bCs/>
          <w:szCs w:val="10"/>
          <w:lang w:val="en-GB"/>
        </w:rPr>
        <w:t>Proposal 8: The re-transmission of a TB with another (s) TTI is possible if the TB size of a codeword is no larger than the TB size of the sTTI</w:t>
      </w:r>
      <w:r>
        <w:rPr>
          <w:rFonts w:asciiTheme="majorBidi" w:hAnsiTheme="majorBidi" w:cstheme="majorBidi"/>
          <w:b/>
          <w:bCs/>
          <w:szCs w:val="10"/>
          <w:lang w:val="en-GB"/>
        </w:rPr>
        <w:t>.</w:t>
      </w:r>
    </w:p>
    <w:p w14:paraId="37B21226" w14:textId="015AEF39" w:rsidR="009936F9" w:rsidRPr="009936F9" w:rsidRDefault="00CC5F39" w:rsidP="009936F9">
      <w:pPr>
        <w:overflowPunct/>
        <w:autoSpaceDE/>
        <w:autoSpaceDN/>
        <w:adjustRightInd/>
        <w:spacing w:after="0"/>
        <w:jc w:val="both"/>
        <w:textAlignment w:val="auto"/>
        <w:rPr>
          <w:rFonts w:asciiTheme="majorBidi" w:hAnsiTheme="majorBidi" w:cstheme="majorBidi"/>
          <w:szCs w:val="10"/>
          <w:lang w:val="en-GB"/>
        </w:rPr>
      </w:pPr>
      <w:r w:rsidRPr="009936F9">
        <w:rPr>
          <w:rFonts w:asciiTheme="majorBidi" w:hAnsiTheme="majorBidi" w:cstheme="majorBidi"/>
          <w:szCs w:val="10"/>
          <w:lang w:val="en-GB"/>
        </w:rPr>
        <w:t xml:space="preserve">Finally, it should be clarified that </w:t>
      </w:r>
      <w:r w:rsidR="009936F9" w:rsidRPr="009936F9">
        <w:rPr>
          <w:rFonts w:asciiTheme="majorBidi" w:hAnsiTheme="majorBidi" w:cstheme="majorBidi"/>
          <w:szCs w:val="10"/>
          <w:lang w:val="en-GB"/>
        </w:rPr>
        <w:t xml:space="preserve">based on the previous agreement, only if the number of codewords of a HARQ process was initially 1, it can be re-transmitted using an sTTI.  </w:t>
      </w:r>
    </w:p>
    <w:p w14:paraId="5258D057" w14:textId="5D126A88" w:rsidR="009936F9" w:rsidRDefault="009936F9" w:rsidP="009936F9">
      <w:pPr>
        <w:overflowPunct/>
        <w:autoSpaceDE/>
        <w:autoSpaceDN/>
        <w:adjustRightInd/>
        <w:spacing w:after="0"/>
        <w:jc w:val="both"/>
        <w:textAlignment w:val="auto"/>
        <w:rPr>
          <w:rFonts w:asciiTheme="majorBidi" w:hAnsiTheme="majorBidi" w:cstheme="majorBidi"/>
          <w:szCs w:val="10"/>
          <w:lang w:val="en-GB"/>
        </w:rPr>
      </w:pPr>
    </w:p>
    <w:p w14:paraId="1A826307" w14:textId="441D1FF2" w:rsidR="00CC5F39" w:rsidRPr="00CC5F39" w:rsidRDefault="009936F9" w:rsidP="009936F9">
      <w:pPr>
        <w:overflowPunct/>
        <w:autoSpaceDE/>
        <w:autoSpaceDN/>
        <w:adjustRightInd/>
        <w:spacing w:after="0"/>
        <w:textAlignment w:val="auto"/>
        <w:rPr>
          <w:rFonts w:asciiTheme="majorBidi" w:hAnsiTheme="majorBidi" w:cstheme="majorBidi"/>
          <w:b/>
          <w:bCs/>
          <w:szCs w:val="10"/>
          <w:lang w:val="en-GB"/>
        </w:rPr>
      </w:pPr>
      <w:r w:rsidRPr="009936F9">
        <w:rPr>
          <w:rFonts w:asciiTheme="majorBidi" w:hAnsiTheme="majorBidi" w:cstheme="majorBidi"/>
          <w:b/>
          <w:bCs/>
          <w:szCs w:val="10"/>
          <w:lang w:val="en-GB"/>
        </w:rPr>
        <w:t xml:space="preserve">Proposal 9: Only if the number of codewords of a HARQ process was initially 1, it can be re-transmitted using an sTTI.  </w:t>
      </w:r>
    </w:p>
    <w:bookmarkEnd w:id="2"/>
    <w:p w14:paraId="2F77E7C7" w14:textId="63D83B3C" w:rsidR="00491EEE" w:rsidRDefault="00130BA8" w:rsidP="00843B71">
      <w:pPr>
        <w:pStyle w:val="Heading1"/>
        <w:jc w:val="both"/>
      </w:pPr>
      <w:r>
        <w:t>4</w:t>
      </w:r>
      <w:r w:rsidR="00491EEE" w:rsidRPr="00E05A22">
        <w:tab/>
        <w:t xml:space="preserve">Conclusions </w:t>
      </w:r>
    </w:p>
    <w:p w14:paraId="2F76C39A" w14:textId="3BEEE3EE" w:rsidR="000D5362" w:rsidRPr="005F5B3F" w:rsidRDefault="00332535" w:rsidP="000D5362">
      <w:pPr>
        <w:overflowPunct/>
        <w:autoSpaceDE/>
        <w:autoSpaceDN/>
        <w:adjustRightInd/>
        <w:spacing w:after="0"/>
        <w:jc w:val="both"/>
        <w:textAlignment w:val="auto"/>
        <w:rPr>
          <w:b/>
          <w:iCs/>
        </w:rPr>
      </w:pPr>
      <w:r>
        <w:rPr>
          <w:b/>
          <w:iCs/>
        </w:rPr>
        <w:t>Proposal 1</w:t>
      </w:r>
      <w:r w:rsidR="000D5362" w:rsidRPr="005F5B3F">
        <w:rPr>
          <w:b/>
          <w:iCs/>
        </w:rPr>
        <w:t xml:space="preserve">: </w:t>
      </w:r>
    </w:p>
    <w:p w14:paraId="7A3AC083" w14:textId="77777777" w:rsidR="000D5362" w:rsidRPr="005F5B3F" w:rsidRDefault="000D5362" w:rsidP="000D5362">
      <w:pPr>
        <w:pStyle w:val="ListParagraph"/>
        <w:numPr>
          <w:ilvl w:val="0"/>
          <w:numId w:val="32"/>
        </w:numPr>
        <w:jc w:val="both"/>
        <w:rPr>
          <w:rFonts w:eastAsia="MS Mincho"/>
          <w:b/>
          <w:iCs/>
          <w:sz w:val="20"/>
          <w:szCs w:val="20"/>
          <w:lang w:eastAsia="ja-JP"/>
        </w:rPr>
      </w:pPr>
      <w:r w:rsidRPr="005F5B3F">
        <w:rPr>
          <w:rFonts w:eastAsia="MS Mincho"/>
          <w:b/>
          <w:iCs/>
          <w:sz w:val="20"/>
          <w:szCs w:val="20"/>
          <w:lang w:eastAsia="ja-JP"/>
        </w:rPr>
        <w:t xml:space="preserve">In case of switching from </w:t>
      </w:r>
      <w:r>
        <w:rPr>
          <w:rFonts w:eastAsia="MS Mincho"/>
          <w:b/>
          <w:iCs/>
          <w:sz w:val="20"/>
          <w:szCs w:val="20"/>
          <w:lang w:eastAsia="ja-JP"/>
        </w:rPr>
        <w:t>1-slot</w:t>
      </w:r>
      <w:r w:rsidRPr="005F5B3F">
        <w:rPr>
          <w:rFonts w:eastAsia="MS Mincho"/>
          <w:b/>
          <w:iCs/>
          <w:sz w:val="20"/>
          <w:szCs w:val="20"/>
          <w:lang w:eastAsia="ja-JP"/>
        </w:rPr>
        <w:t xml:space="preserve"> PDSCH scheduled within </w:t>
      </w:r>
      <w:r>
        <w:rPr>
          <w:rFonts w:eastAsia="MS Mincho"/>
          <w:b/>
          <w:iCs/>
          <w:sz w:val="20"/>
          <w:szCs w:val="20"/>
          <w:lang w:eastAsia="ja-JP"/>
        </w:rPr>
        <w:t>s</w:t>
      </w:r>
      <w:r w:rsidRPr="005F5B3F">
        <w:rPr>
          <w:rFonts w:eastAsia="MS Mincho"/>
          <w:b/>
          <w:iCs/>
          <w:sz w:val="20"/>
          <w:szCs w:val="20"/>
          <w:lang w:eastAsia="ja-JP"/>
        </w:rPr>
        <w:t>TTIs n-W</w:t>
      </w:r>
      <w:r w:rsidRPr="005F5B3F">
        <w:rPr>
          <w:rFonts w:eastAsia="MS Mincho"/>
          <w:b/>
          <w:iCs/>
          <w:sz w:val="20"/>
          <w:szCs w:val="20"/>
          <w:vertAlign w:val="subscript"/>
          <w:lang w:eastAsia="ja-JP"/>
        </w:rPr>
        <w:t>DL</w:t>
      </w:r>
      <w:r w:rsidRPr="005F5B3F">
        <w:rPr>
          <w:rFonts w:eastAsia="MS Mincho"/>
          <w:b/>
          <w:iCs/>
          <w:sz w:val="20"/>
          <w:szCs w:val="20"/>
          <w:lang w:eastAsia="ja-JP"/>
        </w:rPr>
        <w:t xml:space="preserve"> to n-1</w:t>
      </w:r>
      <w:r>
        <w:rPr>
          <w:rFonts w:eastAsia="MS Mincho"/>
          <w:b/>
          <w:iCs/>
          <w:sz w:val="20"/>
          <w:szCs w:val="20"/>
          <w:lang w:eastAsia="ja-JP"/>
        </w:rPr>
        <w:t xml:space="preserve"> </w:t>
      </w:r>
      <w:r w:rsidRPr="005F5B3F">
        <w:rPr>
          <w:rFonts w:eastAsia="MS Mincho"/>
          <w:b/>
          <w:iCs/>
          <w:sz w:val="20"/>
          <w:szCs w:val="20"/>
          <w:lang w:eastAsia="ja-JP"/>
        </w:rPr>
        <w:t>(i.e. including all CCs) to a</w:t>
      </w:r>
      <w:r>
        <w:rPr>
          <w:rFonts w:eastAsia="MS Mincho"/>
          <w:b/>
          <w:iCs/>
          <w:sz w:val="20"/>
          <w:szCs w:val="20"/>
          <w:lang w:eastAsia="ja-JP"/>
        </w:rPr>
        <w:t xml:space="preserve"> 2-symbol</w:t>
      </w:r>
      <w:r w:rsidRPr="005F5B3F">
        <w:rPr>
          <w:rFonts w:eastAsia="MS Mincho"/>
          <w:b/>
          <w:i/>
          <w:sz w:val="20"/>
          <w:szCs w:val="20"/>
          <w:lang w:eastAsia="ja-JP"/>
        </w:rPr>
        <w:t xml:space="preserve"> </w:t>
      </w:r>
      <w:r w:rsidRPr="005F5B3F">
        <w:rPr>
          <w:rFonts w:eastAsia="MS Mincho"/>
          <w:b/>
          <w:iCs/>
          <w:sz w:val="20"/>
          <w:szCs w:val="20"/>
          <w:lang w:eastAsia="ja-JP"/>
        </w:rPr>
        <w:t xml:space="preserve">sPDSCH in </w:t>
      </w:r>
      <w:r>
        <w:rPr>
          <w:rFonts w:eastAsia="MS Mincho"/>
          <w:b/>
          <w:iCs/>
          <w:sz w:val="20"/>
          <w:szCs w:val="20"/>
          <w:lang w:eastAsia="ja-JP"/>
        </w:rPr>
        <w:t>s</w:t>
      </w:r>
      <w:r w:rsidRPr="005F5B3F">
        <w:rPr>
          <w:rFonts w:eastAsia="MS Mincho"/>
          <w:b/>
          <w:iCs/>
          <w:sz w:val="20"/>
          <w:szCs w:val="20"/>
          <w:lang w:eastAsia="ja-JP"/>
        </w:rPr>
        <w:t>TTI/</w:t>
      </w:r>
      <w:r>
        <w:rPr>
          <w:rFonts w:eastAsia="MS Mincho"/>
          <w:b/>
          <w:iCs/>
          <w:sz w:val="20"/>
          <w:szCs w:val="20"/>
          <w:lang w:eastAsia="ja-JP"/>
        </w:rPr>
        <w:t>slot</w:t>
      </w:r>
      <w:r w:rsidRPr="005F5B3F">
        <w:rPr>
          <w:rFonts w:eastAsia="MS Mincho"/>
          <w:b/>
          <w:iCs/>
          <w:sz w:val="20"/>
          <w:szCs w:val="20"/>
          <w:lang w:eastAsia="ja-JP"/>
        </w:rPr>
        <w:t xml:space="preserve"> n (i.e. including all CCs):</w:t>
      </w:r>
    </w:p>
    <w:p w14:paraId="3AF84C10" w14:textId="77777777" w:rsidR="000D5362" w:rsidRPr="005F5B3F" w:rsidRDefault="000D5362" w:rsidP="000D5362">
      <w:pPr>
        <w:pStyle w:val="ListParagraph"/>
        <w:numPr>
          <w:ilvl w:val="1"/>
          <w:numId w:val="32"/>
        </w:numPr>
        <w:jc w:val="both"/>
        <w:rPr>
          <w:rFonts w:eastAsia="MS Mincho"/>
          <w:b/>
          <w:iCs/>
          <w:sz w:val="20"/>
          <w:szCs w:val="20"/>
          <w:lang w:eastAsia="ja-JP"/>
        </w:rPr>
      </w:pPr>
      <w:r w:rsidRPr="005F5B3F">
        <w:rPr>
          <w:rFonts w:eastAsia="MS Mincho"/>
          <w:b/>
          <w:iCs/>
          <w:sz w:val="20"/>
          <w:szCs w:val="20"/>
          <w:lang w:eastAsia="ja-JP"/>
        </w:rPr>
        <w:t xml:space="preserve">Whether the UE skips processing </w:t>
      </w:r>
      <w:r>
        <w:rPr>
          <w:rFonts w:eastAsia="MS Mincho"/>
          <w:b/>
          <w:iCs/>
          <w:sz w:val="20"/>
          <w:szCs w:val="20"/>
          <w:lang w:eastAsia="ja-JP"/>
        </w:rPr>
        <w:t>1-slot s</w:t>
      </w:r>
      <w:r w:rsidRPr="005F5B3F">
        <w:rPr>
          <w:rFonts w:eastAsia="MS Mincho"/>
          <w:b/>
          <w:iCs/>
          <w:sz w:val="20"/>
          <w:szCs w:val="20"/>
          <w:lang w:eastAsia="ja-JP"/>
        </w:rPr>
        <w:t>PDSCH(s) is up to the UE implementation.</w:t>
      </w:r>
    </w:p>
    <w:p w14:paraId="628ADFFF" w14:textId="77777777" w:rsidR="000D5362" w:rsidRPr="005F5B3F" w:rsidRDefault="000D5362" w:rsidP="000D5362">
      <w:pPr>
        <w:pStyle w:val="ListParagraph"/>
        <w:numPr>
          <w:ilvl w:val="1"/>
          <w:numId w:val="32"/>
        </w:numPr>
        <w:jc w:val="both"/>
        <w:rPr>
          <w:rFonts w:eastAsia="MS Mincho"/>
          <w:b/>
          <w:iCs/>
          <w:sz w:val="20"/>
          <w:szCs w:val="20"/>
          <w:lang w:eastAsia="ja-JP"/>
        </w:rPr>
      </w:pPr>
      <w:r w:rsidRPr="005F5B3F">
        <w:rPr>
          <w:rFonts w:eastAsia="MS Mincho"/>
          <w:b/>
          <w:iCs/>
          <w:sz w:val="20"/>
          <w:szCs w:val="20"/>
          <w:lang w:eastAsia="ja-JP"/>
        </w:rPr>
        <w:t xml:space="preserve">In case UE skips </w:t>
      </w:r>
      <w:r>
        <w:rPr>
          <w:rFonts w:eastAsia="MS Mincho"/>
          <w:b/>
          <w:iCs/>
          <w:sz w:val="20"/>
          <w:szCs w:val="20"/>
          <w:lang w:eastAsia="ja-JP"/>
        </w:rPr>
        <w:t>1-slot s</w:t>
      </w:r>
      <w:r w:rsidRPr="005F5B3F">
        <w:rPr>
          <w:rFonts w:eastAsia="MS Mincho"/>
          <w:b/>
          <w:iCs/>
          <w:sz w:val="20"/>
          <w:szCs w:val="20"/>
          <w:lang w:eastAsia="ja-JP"/>
        </w:rPr>
        <w:t>PDSCH processing, the legacy procedures are applied. If the UE skips decoding, the physical layer indicates to higher layers that the transport block(s) is not successfully decoded.</w:t>
      </w:r>
    </w:p>
    <w:p w14:paraId="04C01FD8" w14:textId="77777777" w:rsidR="000D5362" w:rsidRPr="005F5B3F" w:rsidRDefault="000D5362" w:rsidP="000D5362">
      <w:pPr>
        <w:pStyle w:val="ListParagraph"/>
        <w:numPr>
          <w:ilvl w:val="1"/>
          <w:numId w:val="32"/>
        </w:numPr>
        <w:jc w:val="both"/>
        <w:rPr>
          <w:rFonts w:eastAsia="MS Mincho"/>
          <w:b/>
          <w:iCs/>
          <w:sz w:val="20"/>
          <w:szCs w:val="20"/>
          <w:lang w:eastAsia="ja-JP"/>
        </w:rPr>
      </w:pPr>
      <w:r w:rsidRPr="005F5B3F">
        <w:rPr>
          <w:rFonts w:eastAsia="MS Mincho"/>
          <w:b/>
          <w:iCs/>
          <w:sz w:val="20"/>
          <w:szCs w:val="20"/>
          <w:lang w:eastAsia="ja-JP"/>
        </w:rPr>
        <w:t>The value of W</w:t>
      </w:r>
      <w:r w:rsidRPr="005F5B3F">
        <w:rPr>
          <w:rFonts w:eastAsia="MS Mincho"/>
          <w:b/>
          <w:iCs/>
          <w:sz w:val="20"/>
          <w:szCs w:val="20"/>
          <w:vertAlign w:val="subscript"/>
          <w:lang w:eastAsia="ja-JP"/>
        </w:rPr>
        <w:t>DL</w:t>
      </w:r>
      <w:r w:rsidRPr="005F5B3F">
        <w:rPr>
          <w:rFonts w:eastAsia="MS Mincho"/>
          <w:b/>
          <w:iCs/>
          <w:sz w:val="20"/>
          <w:szCs w:val="20"/>
          <w:lang w:eastAsia="ja-JP"/>
        </w:rPr>
        <w:t xml:space="preserve"> is a UE capability with the value range of 0 to k-1, where k is the DL HARQ processing time</w:t>
      </w:r>
      <w:r>
        <w:rPr>
          <w:rFonts w:eastAsia="MS Mincho"/>
          <w:b/>
          <w:iCs/>
          <w:sz w:val="20"/>
          <w:szCs w:val="20"/>
          <w:lang w:eastAsia="ja-JP"/>
        </w:rPr>
        <w:t xml:space="preserve"> for 1-slot sPDSCH</w:t>
      </w:r>
      <w:r w:rsidRPr="005F5B3F">
        <w:rPr>
          <w:rFonts w:eastAsia="MS Mincho"/>
          <w:b/>
          <w:iCs/>
          <w:sz w:val="20"/>
          <w:szCs w:val="20"/>
          <w:lang w:eastAsia="ja-JP"/>
        </w:rPr>
        <w:t xml:space="preserve">. </w:t>
      </w:r>
    </w:p>
    <w:p w14:paraId="59924BA7" w14:textId="77777777" w:rsidR="000D5362" w:rsidRPr="005F5B3F" w:rsidRDefault="000D5362" w:rsidP="000D5362">
      <w:pPr>
        <w:pStyle w:val="ListParagraph"/>
        <w:numPr>
          <w:ilvl w:val="1"/>
          <w:numId w:val="32"/>
        </w:numPr>
        <w:jc w:val="both"/>
        <w:rPr>
          <w:rFonts w:eastAsia="MS Mincho"/>
          <w:b/>
          <w:iCs/>
          <w:sz w:val="20"/>
          <w:szCs w:val="20"/>
          <w:lang w:eastAsia="ja-JP"/>
        </w:rPr>
      </w:pPr>
      <w:r w:rsidRPr="005F5B3F">
        <w:rPr>
          <w:rFonts w:eastAsia="MS Mincho"/>
          <w:b/>
          <w:iCs/>
          <w:sz w:val="20"/>
          <w:szCs w:val="20"/>
          <w:lang w:eastAsia="ja-JP"/>
        </w:rPr>
        <w:t xml:space="preserve">The UE should attempt to skip the processing of as small number of </w:t>
      </w:r>
      <w:r>
        <w:rPr>
          <w:rFonts w:eastAsia="MS Mincho"/>
          <w:b/>
          <w:iCs/>
          <w:sz w:val="20"/>
          <w:szCs w:val="20"/>
          <w:lang w:eastAsia="ja-JP"/>
        </w:rPr>
        <w:t>1-slot s</w:t>
      </w:r>
      <w:r w:rsidRPr="005F5B3F">
        <w:rPr>
          <w:rFonts w:eastAsia="MS Mincho"/>
          <w:b/>
          <w:iCs/>
          <w:sz w:val="20"/>
          <w:szCs w:val="20"/>
          <w:lang w:eastAsia="ja-JP"/>
        </w:rPr>
        <w:t>PDSCH(s) as possible.</w:t>
      </w:r>
    </w:p>
    <w:p w14:paraId="5C6D299F" w14:textId="77777777" w:rsidR="000D5362" w:rsidRPr="005F5B3F" w:rsidRDefault="000D5362" w:rsidP="000D5362">
      <w:pPr>
        <w:jc w:val="both"/>
        <w:rPr>
          <w:rFonts w:eastAsia="MS Mincho"/>
          <w:b/>
          <w:iCs/>
          <w:lang w:eastAsia="ja-JP"/>
        </w:rPr>
      </w:pPr>
    </w:p>
    <w:p w14:paraId="62E29E70" w14:textId="77777777" w:rsidR="000D5362" w:rsidRPr="005F5B3F" w:rsidRDefault="000D5362" w:rsidP="000D5362">
      <w:pPr>
        <w:pStyle w:val="ListParagraph"/>
        <w:numPr>
          <w:ilvl w:val="0"/>
          <w:numId w:val="32"/>
        </w:numPr>
        <w:jc w:val="both"/>
        <w:rPr>
          <w:rFonts w:eastAsia="MS Mincho"/>
          <w:b/>
          <w:iCs/>
          <w:sz w:val="20"/>
          <w:szCs w:val="20"/>
          <w:lang w:eastAsia="ja-JP"/>
        </w:rPr>
      </w:pPr>
      <w:r w:rsidRPr="005F5B3F">
        <w:rPr>
          <w:rFonts w:eastAsia="MS Mincho"/>
          <w:b/>
          <w:iCs/>
          <w:sz w:val="20"/>
          <w:szCs w:val="20"/>
          <w:lang w:eastAsia="ja-JP"/>
        </w:rPr>
        <w:t xml:space="preserve">In case of switching from the reception of </w:t>
      </w:r>
      <w:r>
        <w:rPr>
          <w:rFonts w:eastAsia="MS Mincho"/>
          <w:b/>
          <w:iCs/>
          <w:sz w:val="20"/>
          <w:szCs w:val="20"/>
          <w:lang w:eastAsia="ja-JP"/>
        </w:rPr>
        <w:t>1-slot s</w:t>
      </w:r>
      <w:r w:rsidRPr="005F5B3F">
        <w:rPr>
          <w:rFonts w:eastAsia="MS Mincho"/>
          <w:b/>
          <w:iCs/>
          <w:sz w:val="20"/>
          <w:szCs w:val="20"/>
          <w:lang w:eastAsia="ja-JP"/>
        </w:rPr>
        <w:t xml:space="preserve">PUSCH grants within </w:t>
      </w:r>
      <w:r>
        <w:rPr>
          <w:rFonts w:eastAsia="MS Mincho"/>
          <w:b/>
          <w:iCs/>
          <w:sz w:val="20"/>
          <w:szCs w:val="20"/>
          <w:lang w:eastAsia="ja-JP"/>
        </w:rPr>
        <w:t>s</w:t>
      </w:r>
      <w:r w:rsidRPr="005F5B3F">
        <w:rPr>
          <w:rFonts w:eastAsia="MS Mincho"/>
          <w:b/>
          <w:iCs/>
          <w:sz w:val="20"/>
          <w:szCs w:val="20"/>
          <w:lang w:eastAsia="ja-JP"/>
        </w:rPr>
        <w:t>TTIs n-W</w:t>
      </w:r>
      <w:r w:rsidRPr="005F5B3F">
        <w:rPr>
          <w:rFonts w:eastAsia="MS Mincho"/>
          <w:b/>
          <w:iCs/>
          <w:sz w:val="20"/>
          <w:szCs w:val="20"/>
          <w:vertAlign w:val="subscript"/>
          <w:lang w:eastAsia="ja-JP"/>
        </w:rPr>
        <w:t>UL</w:t>
      </w:r>
      <w:r w:rsidRPr="005F5B3F">
        <w:rPr>
          <w:rFonts w:eastAsia="MS Mincho"/>
          <w:b/>
          <w:iCs/>
          <w:sz w:val="20"/>
          <w:szCs w:val="20"/>
          <w:lang w:eastAsia="ja-JP"/>
        </w:rPr>
        <w:t xml:space="preserve"> to n-1 (i.e. including all CCs) to the </w:t>
      </w:r>
      <w:r>
        <w:rPr>
          <w:rFonts w:eastAsia="MS Mincho"/>
          <w:b/>
          <w:iCs/>
          <w:sz w:val="20"/>
          <w:szCs w:val="20"/>
          <w:lang w:eastAsia="ja-JP"/>
        </w:rPr>
        <w:t xml:space="preserve">2-symbol </w:t>
      </w:r>
      <w:r w:rsidRPr="005F5B3F">
        <w:rPr>
          <w:rFonts w:eastAsia="MS Mincho"/>
          <w:b/>
          <w:iCs/>
          <w:sz w:val="20"/>
          <w:szCs w:val="20"/>
          <w:lang w:eastAsia="ja-JP"/>
        </w:rPr>
        <w:t xml:space="preserve">sPUSCH grant in </w:t>
      </w:r>
      <w:r>
        <w:rPr>
          <w:rFonts w:eastAsia="MS Mincho"/>
          <w:b/>
          <w:iCs/>
          <w:sz w:val="20"/>
          <w:szCs w:val="20"/>
          <w:lang w:eastAsia="ja-JP"/>
        </w:rPr>
        <w:t>s</w:t>
      </w:r>
      <w:r w:rsidRPr="005F5B3F">
        <w:rPr>
          <w:rFonts w:eastAsia="MS Mincho"/>
          <w:b/>
          <w:iCs/>
          <w:sz w:val="20"/>
          <w:szCs w:val="20"/>
          <w:lang w:eastAsia="ja-JP"/>
        </w:rPr>
        <w:t>TTI/</w:t>
      </w:r>
      <w:r>
        <w:rPr>
          <w:rFonts w:eastAsia="MS Mincho"/>
          <w:b/>
          <w:iCs/>
          <w:sz w:val="20"/>
          <w:szCs w:val="20"/>
          <w:lang w:eastAsia="ja-JP"/>
        </w:rPr>
        <w:t>slot</w:t>
      </w:r>
      <w:r w:rsidRPr="005F5B3F">
        <w:rPr>
          <w:rFonts w:eastAsia="MS Mincho"/>
          <w:b/>
          <w:iCs/>
          <w:sz w:val="20"/>
          <w:szCs w:val="20"/>
          <w:lang w:eastAsia="ja-JP"/>
        </w:rPr>
        <w:t xml:space="preserve"> n (i.e. including all CCs):</w:t>
      </w:r>
    </w:p>
    <w:p w14:paraId="2AE51B2F" w14:textId="77777777" w:rsidR="000D5362" w:rsidRPr="005F5B3F" w:rsidRDefault="000D5362" w:rsidP="000D5362">
      <w:pPr>
        <w:pStyle w:val="ListParagraph"/>
        <w:numPr>
          <w:ilvl w:val="1"/>
          <w:numId w:val="32"/>
        </w:numPr>
        <w:jc w:val="both"/>
        <w:rPr>
          <w:rFonts w:eastAsia="MS Mincho"/>
          <w:b/>
          <w:iCs/>
          <w:sz w:val="20"/>
          <w:szCs w:val="20"/>
          <w:lang w:eastAsia="ja-JP"/>
        </w:rPr>
      </w:pPr>
      <w:r w:rsidRPr="005F5B3F">
        <w:rPr>
          <w:rFonts w:eastAsia="MS Mincho"/>
          <w:b/>
          <w:iCs/>
          <w:sz w:val="20"/>
          <w:szCs w:val="20"/>
          <w:lang w:eastAsia="ja-JP"/>
        </w:rPr>
        <w:t>Whether the UE skips processing/transmission of</w:t>
      </w:r>
      <w:r>
        <w:rPr>
          <w:rFonts w:eastAsia="MS Mincho"/>
          <w:b/>
          <w:iCs/>
          <w:sz w:val="20"/>
          <w:szCs w:val="20"/>
          <w:lang w:eastAsia="ja-JP"/>
        </w:rPr>
        <w:t xml:space="preserve"> 1-slot s</w:t>
      </w:r>
      <w:r w:rsidRPr="005F5B3F">
        <w:rPr>
          <w:rFonts w:eastAsia="MS Mincho"/>
          <w:b/>
          <w:iCs/>
          <w:sz w:val="20"/>
          <w:szCs w:val="20"/>
          <w:lang w:eastAsia="ja-JP"/>
        </w:rPr>
        <w:t xml:space="preserve">PUSCH(s) is up to the UE implementation. </w:t>
      </w:r>
    </w:p>
    <w:p w14:paraId="3250B484" w14:textId="77777777" w:rsidR="000D5362" w:rsidRPr="005F5B3F" w:rsidRDefault="000D5362" w:rsidP="000D5362">
      <w:pPr>
        <w:pStyle w:val="ListParagraph"/>
        <w:numPr>
          <w:ilvl w:val="1"/>
          <w:numId w:val="32"/>
        </w:numPr>
        <w:jc w:val="both"/>
        <w:rPr>
          <w:rFonts w:eastAsia="MS Mincho"/>
          <w:b/>
          <w:iCs/>
          <w:sz w:val="20"/>
          <w:szCs w:val="20"/>
          <w:lang w:eastAsia="ja-JP"/>
        </w:rPr>
      </w:pPr>
      <w:r w:rsidRPr="005F5B3F">
        <w:rPr>
          <w:rFonts w:eastAsia="MS Mincho"/>
          <w:b/>
          <w:iCs/>
          <w:sz w:val="20"/>
          <w:szCs w:val="20"/>
          <w:lang w:eastAsia="ja-JP"/>
        </w:rPr>
        <w:t xml:space="preserve">As in case of eLAA procedures, also in case of skipping, the UE should request data from higher layers based on the issued </w:t>
      </w:r>
      <w:r>
        <w:rPr>
          <w:rFonts w:eastAsia="MS Mincho"/>
          <w:b/>
          <w:iCs/>
          <w:sz w:val="20"/>
          <w:szCs w:val="20"/>
          <w:lang w:eastAsia="ja-JP"/>
        </w:rPr>
        <w:t>1-slot s</w:t>
      </w:r>
      <w:r w:rsidRPr="005F5B3F">
        <w:rPr>
          <w:rFonts w:eastAsia="MS Mincho"/>
          <w:b/>
          <w:iCs/>
          <w:sz w:val="20"/>
          <w:szCs w:val="20"/>
          <w:lang w:eastAsia="ja-JP"/>
        </w:rPr>
        <w:t>PUSCH grant(s)</w:t>
      </w:r>
    </w:p>
    <w:p w14:paraId="5D29E8A5" w14:textId="77777777" w:rsidR="000D5362" w:rsidRPr="005F5B3F" w:rsidRDefault="000D5362" w:rsidP="000D5362">
      <w:pPr>
        <w:pStyle w:val="ListParagraph"/>
        <w:numPr>
          <w:ilvl w:val="1"/>
          <w:numId w:val="32"/>
        </w:numPr>
        <w:jc w:val="both"/>
        <w:rPr>
          <w:rFonts w:eastAsia="MS Mincho"/>
          <w:b/>
          <w:iCs/>
          <w:sz w:val="20"/>
          <w:szCs w:val="20"/>
          <w:lang w:eastAsia="ja-JP"/>
        </w:rPr>
      </w:pPr>
      <w:r w:rsidRPr="005F5B3F">
        <w:rPr>
          <w:rFonts w:eastAsia="MS Mincho"/>
          <w:b/>
          <w:iCs/>
          <w:sz w:val="20"/>
          <w:szCs w:val="20"/>
          <w:lang w:eastAsia="ja-JP"/>
        </w:rPr>
        <w:t>The value of W</w:t>
      </w:r>
      <w:r w:rsidRPr="005F5B3F">
        <w:rPr>
          <w:rFonts w:eastAsia="MS Mincho"/>
          <w:b/>
          <w:iCs/>
          <w:sz w:val="20"/>
          <w:szCs w:val="20"/>
          <w:vertAlign w:val="subscript"/>
          <w:lang w:eastAsia="ja-JP"/>
        </w:rPr>
        <w:t>UL</w:t>
      </w:r>
      <w:r w:rsidRPr="005F5B3F">
        <w:rPr>
          <w:rFonts w:eastAsia="MS Mincho"/>
          <w:b/>
          <w:iCs/>
          <w:sz w:val="20"/>
          <w:szCs w:val="20"/>
          <w:lang w:eastAsia="ja-JP"/>
        </w:rPr>
        <w:t xml:space="preserve"> is a UE capability with the value range of 0 to k-1, where k is the </w:t>
      </w:r>
      <w:r>
        <w:rPr>
          <w:rFonts w:eastAsia="MS Mincho"/>
          <w:b/>
          <w:iCs/>
          <w:sz w:val="20"/>
          <w:szCs w:val="20"/>
          <w:lang w:eastAsia="ja-JP"/>
        </w:rPr>
        <w:t>1-slot</w:t>
      </w:r>
      <w:r w:rsidRPr="005F5B3F">
        <w:rPr>
          <w:rFonts w:eastAsia="MS Mincho"/>
          <w:b/>
          <w:iCs/>
          <w:sz w:val="20"/>
          <w:szCs w:val="20"/>
          <w:lang w:eastAsia="ja-JP"/>
        </w:rPr>
        <w:t xml:space="preserve"> TTI UL scheduling time.</w:t>
      </w:r>
    </w:p>
    <w:p w14:paraId="2BCEE0BA" w14:textId="0FCB96A6" w:rsidR="000D5362" w:rsidRPr="005F5B3F" w:rsidRDefault="000D5362" w:rsidP="000D5362">
      <w:pPr>
        <w:pStyle w:val="ListParagraph"/>
        <w:numPr>
          <w:ilvl w:val="1"/>
          <w:numId w:val="32"/>
        </w:numPr>
        <w:jc w:val="both"/>
        <w:rPr>
          <w:rFonts w:eastAsia="MS Mincho"/>
          <w:b/>
          <w:iCs/>
          <w:sz w:val="20"/>
          <w:szCs w:val="20"/>
          <w:lang w:eastAsia="ja-JP"/>
        </w:rPr>
      </w:pPr>
      <w:r w:rsidRPr="005F5B3F">
        <w:rPr>
          <w:rFonts w:eastAsia="MS Mincho"/>
          <w:b/>
          <w:iCs/>
          <w:sz w:val="20"/>
          <w:szCs w:val="20"/>
          <w:lang w:eastAsia="ja-JP"/>
        </w:rPr>
        <w:t>The UE should attempt to skip the processing/transmission of as small number of</w:t>
      </w:r>
      <w:r>
        <w:rPr>
          <w:rFonts w:eastAsia="MS Mincho"/>
          <w:b/>
          <w:iCs/>
          <w:sz w:val="20"/>
          <w:szCs w:val="20"/>
          <w:lang w:eastAsia="ja-JP"/>
        </w:rPr>
        <w:t xml:space="preserve"> 1-slot s</w:t>
      </w:r>
      <w:r w:rsidRPr="005F5B3F">
        <w:rPr>
          <w:rFonts w:eastAsia="MS Mincho"/>
          <w:b/>
          <w:iCs/>
          <w:sz w:val="20"/>
          <w:szCs w:val="20"/>
          <w:lang w:eastAsia="ja-JP"/>
        </w:rPr>
        <w:t>PUSCH(s) as possible.</w:t>
      </w:r>
    </w:p>
    <w:p w14:paraId="47C21C92" w14:textId="133E7C4C" w:rsidR="00D926F8" w:rsidRDefault="00D926F8" w:rsidP="005F5B3F">
      <w:pPr>
        <w:jc w:val="both"/>
        <w:rPr>
          <w:b/>
          <w:iCs/>
        </w:rPr>
      </w:pPr>
    </w:p>
    <w:p w14:paraId="5F332E79" w14:textId="4FCBE1F3" w:rsidR="00CC5F39" w:rsidRPr="00CC5F39" w:rsidRDefault="00CC5F39" w:rsidP="00CC5F39">
      <w:pPr>
        <w:jc w:val="both"/>
        <w:rPr>
          <w:rFonts w:eastAsia="MS Mincho"/>
          <w:b/>
          <w:bCs/>
          <w:iCs/>
          <w:color w:val="000000" w:themeColor="text1"/>
          <w:lang w:eastAsia="ja-JP"/>
        </w:rPr>
      </w:pPr>
      <w:r w:rsidRPr="00CC5F39">
        <w:rPr>
          <w:rFonts w:eastAsia="MS Mincho"/>
          <w:b/>
          <w:bCs/>
          <w:iCs/>
          <w:color w:val="000000" w:themeColor="text1"/>
          <w:lang w:eastAsia="ja-JP"/>
        </w:rPr>
        <w:t xml:space="preserve">Proposal 2: In the sTTI rate-matching formula, the same </w:t>
      </w:r>
      <m:oMath>
        <m:sSub>
          <m:sSubPr>
            <m:ctrlPr>
              <w:rPr>
                <w:rFonts w:ascii="Cambria Math" w:eastAsia="MS Mincho" w:hAnsi="Cambria Math"/>
                <w:b/>
                <w:bCs/>
                <w:i/>
                <w:iCs/>
                <w:color w:val="000000" w:themeColor="text1"/>
                <w:lang w:eastAsia="ja-JP"/>
              </w:rPr>
            </m:ctrlPr>
          </m:sSubPr>
          <m:e>
            <m:r>
              <m:rPr>
                <m:sty m:val="bi"/>
              </m:rPr>
              <w:rPr>
                <w:rFonts w:ascii="Cambria Math" w:eastAsia="MS Mincho" w:hAnsi="Cambria Math"/>
                <w:color w:val="000000" w:themeColor="text1"/>
                <w:lang w:eastAsia="ja-JP"/>
              </w:rPr>
              <m:t>K</m:t>
            </m:r>
          </m:e>
          <m:sub>
            <m:r>
              <m:rPr>
                <m:sty m:val="bi"/>
              </m:rPr>
              <w:rPr>
                <w:rFonts w:ascii="Cambria Math" w:eastAsia="MS Mincho" w:hAnsi="Cambria Math"/>
                <w:color w:val="000000" w:themeColor="text1"/>
                <w:lang w:eastAsia="ja-JP"/>
              </w:rPr>
              <m:t>c</m:t>
            </m:r>
          </m:sub>
        </m:sSub>
      </m:oMath>
      <w:r w:rsidRPr="00CC5F39">
        <w:rPr>
          <w:rFonts w:eastAsia="MS Mincho"/>
          <w:b/>
          <w:bCs/>
          <w:iCs/>
          <w:color w:val="000000" w:themeColor="text1"/>
          <w:lang w:eastAsia="ja-JP"/>
        </w:rPr>
        <w:t xml:space="preserve"> as in the legacy LTE should be used, and the </w:t>
      </w:r>
      <m:oMath>
        <m:sSub>
          <m:sSubPr>
            <m:ctrlPr>
              <w:rPr>
                <w:rFonts w:ascii="Cambria Math" w:eastAsia="MS Mincho" w:hAnsi="Cambria Math"/>
                <w:b/>
                <w:bCs/>
                <w:i/>
                <w:iCs/>
                <w:color w:val="000000" w:themeColor="text1"/>
                <w:lang w:eastAsia="ja-JP"/>
              </w:rPr>
            </m:ctrlPr>
          </m:sSubPr>
          <m:e>
            <m:r>
              <m:rPr>
                <m:sty m:val="bi"/>
              </m:rPr>
              <w:rPr>
                <w:rFonts w:ascii="Cambria Math" w:eastAsia="MS Mincho" w:hAnsi="Cambria Math"/>
                <w:color w:val="000000" w:themeColor="text1"/>
                <w:lang w:eastAsia="ja-JP"/>
              </w:rPr>
              <m:t>K</m:t>
            </m:r>
          </m:e>
          <m:sub>
            <m:r>
              <m:rPr>
                <m:sty m:val="bi"/>
              </m:rPr>
              <w:rPr>
                <w:rFonts w:ascii="Cambria Math" w:eastAsia="MS Mincho" w:hAnsi="Cambria Math"/>
                <w:color w:val="000000" w:themeColor="text1"/>
                <w:lang w:eastAsia="ja-JP"/>
              </w:rPr>
              <m:t>MIMO</m:t>
            </m:r>
          </m:sub>
        </m:sSub>
      </m:oMath>
      <w:r w:rsidRPr="00CC5F39">
        <w:rPr>
          <w:rFonts w:eastAsia="MS Mincho"/>
          <w:b/>
          <w:bCs/>
          <w:iCs/>
          <w:color w:val="000000" w:themeColor="text1"/>
          <w:lang w:eastAsia="ja-JP"/>
        </w:rPr>
        <w:t xml:space="preserve"> should be set to 1.</w:t>
      </w:r>
    </w:p>
    <w:p w14:paraId="76E36F54" w14:textId="7E7649A2" w:rsidR="003A5B57" w:rsidRPr="00803901" w:rsidRDefault="00CC5F39" w:rsidP="003A5B57">
      <w:pPr>
        <w:jc w:val="both"/>
        <w:rPr>
          <w:rFonts w:eastAsia="MS Mincho"/>
          <w:b/>
          <w:bCs/>
          <w:iCs/>
          <w:color w:val="000000" w:themeColor="text1"/>
          <w:lang w:eastAsia="ja-JP"/>
        </w:rPr>
      </w:pPr>
      <w:r>
        <w:rPr>
          <w:rFonts w:eastAsia="MS Mincho"/>
          <w:b/>
          <w:bCs/>
          <w:iCs/>
          <w:color w:val="000000" w:themeColor="text1"/>
          <w:lang w:eastAsia="ja-JP"/>
        </w:rPr>
        <w:t>Proposal 3</w:t>
      </w:r>
      <w:r w:rsidR="003A5B57" w:rsidRPr="00803901">
        <w:rPr>
          <w:rFonts w:eastAsia="MS Mincho"/>
          <w:b/>
          <w:bCs/>
          <w:iCs/>
          <w:color w:val="000000" w:themeColor="text1"/>
          <w:lang w:eastAsia="ja-JP"/>
        </w:rPr>
        <w:t xml:space="preserve">: </w:t>
      </w:r>
      <w:r w:rsidR="003A5B57">
        <w:rPr>
          <w:rFonts w:eastAsia="MS Mincho"/>
          <w:b/>
          <w:bCs/>
          <w:iCs/>
          <w:color w:val="000000" w:themeColor="text1"/>
          <w:lang w:eastAsia="ja-JP"/>
        </w:rPr>
        <w:t xml:space="preserve">For the 2-symbol and 1-slot operations, the </w:t>
      </w:r>
      <m:oMath>
        <m:sSub>
          <m:sSubPr>
            <m:ctrlPr>
              <w:rPr>
                <w:rFonts w:ascii="Cambria Math" w:eastAsia="MS Mincho" w:hAnsi="Cambria Math"/>
                <w:b/>
                <w:bCs/>
                <w:i/>
                <w:iCs/>
                <w:color w:val="000000" w:themeColor="text1"/>
                <w:lang w:eastAsia="ja-JP"/>
              </w:rPr>
            </m:ctrlPr>
          </m:sSubPr>
          <m:e>
            <m:r>
              <m:rPr>
                <m:sty m:val="bi"/>
              </m:rPr>
              <w:rPr>
                <w:rFonts w:ascii="Cambria Math" w:eastAsia="MS Mincho" w:hAnsi="Cambria Math"/>
                <w:color w:val="000000" w:themeColor="text1"/>
                <w:lang w:eastAsia="ja-JP"/>
              </w:rPr>
              <m:t>N</m:t>
            </m:r>
          </m:e>
          <m:sub>
            <m:r>
              <m:rPr>
                <m:sty m:val="bi"/>
              </m:rPr>
              <w:rPr>
                <w:rFonts w:ascii="Cambria Math" w:eastAsia="MS Mincho" w:hAnsi="Cambria Math"/>
                <w:color w:val="000000" w:themeColor="text1"/>
                <w:lang w:eastAsia="ja-JP"/>
              </w:rPr>
              <m:t>IR</m:t>
            </m:r>
          </m:sub>
        </m:sSub>
      </m:oMath>
      <w:r w:rsidR="003A5B57">
        <w:rPr>
          <w:rFonts w:eastAsia="MS Mincho"/>
          <w:b/>
          <w:bCs/>
          <w:iCs/>
          <w:color w:val="000000" w:themeColor="text1"/>
          <w:lang w:eastAsia="ja-JP"/>
        </w:rPr>
        <w:t xml:space="preserve"> should be scaled by a factor of 1/6 and 1/2, respectively.</w:t>
      </w:r>
    </w:p>
    <w:p w14:paraId="1451961A" w14:textId="584CFB77" w:rsidR="003A5B57" w:rsidRPr="003A5B57" w:rsidRDefault="00CC5F39" w:rsidP="003A5B57">
      <w:pPr>
        <w:jc w:val="both"/>
        <w:rPr>
          <w:b/>
          <w:iCs/>
          <w:color w:val="000000" w:themeColor="text1"/>
        </w:rPr>
      </w:pPr>
      <w:r>
        <w:rPr>
          <w:b/>
          <w:iCs/>
          <w:color w:val="000000" w:themeColor="text1"/>
          <w:lang w:eastAsia="ja-JP"/>
        </w:rPr>
        <w:t>Proposal 4</w:t>
      </w:r>
      <w:r w:rsidR="003A5B57" w:rsidRPr="003A5B57">
        <w:rPr>
          <w:b/>
          <w:iCs/>
          <w:color w:val="000000" w:themeColor="text1"/>
          <w:lang w:eastAsia="ja-JP"/>
        </w:rPr>
        <w:t>: The rate-matching soft buffer size is determined based on the TTI length of the initial transmission.</w:t>
      </w:r>
    </w:p>
    <w:p w14:paraId="63410300" w14:textId="7A4E0281" w:rsidR="003A5B57" w:rsidRPr="003A5B57" w:rsidRDefault="00CC5F39" w:rsidP="003A5B57">
      <w:pPr>
        <w:jc w:val="both"/>
        <w:rPr>
          <w:b/>
          <w:iCs/>
          <w:color w:val="000000" w:themeColor="text1"/>
        </w:rPr>
      </w:pPr>
      <w:r>
        <w:rPr>
          <w:b/>
          <w:iCs/>
          <w:color w:val="000000" w:themeColor="text1"/>
          <w:lang w:eastAsia="ja-JP"/>
        </w:rPr>
        <w:t>Proposal 5</w:t>
      </w:r>
      <w:r w:rsidR="003A5B57" w:rsidRPr="003A5B57">
        <w:rPr>
          <w:b/>
          <w:iCs/>
          <w:color w:val="000000" w:themeColor="text1"/>
          <w:lang w:eastAsia="ja-JP"/>
        </w:rPr>
        <w:t xml:space="preserve">: The number of HARQ processes under the sTTI operation is </w:t>
      </w:r>
      <m:oMath>
        <m:r>
          <m:rPr>
            <m:sty m:val="bi"/>
          </m:rPr>
          <w:rPr>
            <w:rFonts w:ascii="Cambria Math" w:hAnsi="Cambria Math"/>
            <w:color w:val="000000" w:themeColor="text1"/>
            <w:lang w:eastAsia="ja-JP"/>
          </w:rPr>
          <m:t>2</m:t>
        </m:r>
        <m:r>
          <m:rPr>
            <m:sty m:val="bi"/>
          </m:rPr>
          <w:rPr>
            <w:rFonts w:ascii="Cambria Math" w:hAnsi="Cambria Math"/>
            <w:color w:val="000000" w:themeColor="text1"/>
            <w:lang w:eastAsia="ja-JP"/>
          </w:rPr>
          <m:t>k</m:t>
        </m:r>
      </m:oMath>
      <w:r w:rsidR="003A5B57" w:rsidRPr="003A5B57">
        <w:rPr>
          <w:b/>
          <w:iCs/>
          <w:color w:val="000000" w:themeColor="text1"/>
          <w:lang w:eastAsia="ja-JP"/>
        </w:rPr>
        <w:t xml:space="preserve"> when the processing timeline is </w:t>
      </w:r>
      <m:oMath>
        <m:r>
          <m:rPr>
            <m:sty m:val="bi"/>
          </m:rPr>
          <w:rPr>
            <w:rFonts w:ascii="Cambria Math" w:hAnsi="Cambria Math"/>
            <w:color w:val="000000" w:themeColor="text1"/>
            <w:lang w:eastAsia="ja-JP"/>
          </w:rPr>
          <m:t>n+k</m:t>
        </m:r>
      </m:oMath>
      <w:r w:rsidR="003A5B57" w:rsidRPr="003A5B57">
        <w:rPr>
          <w:b/>
          <w:iCs/>
          <w:color w:val="000000" w:themeColor="text1"/>
          <w:lang w:eastAsia="ja-JP"/>
        </w:rPr>
        <w:t>.</w:t>
      </w:r>
    </w:p>
    <w:p w14:paraId="166C0DAD" w14:textId="4207268C" w:rsidR="00C154B6" w:rsidRPr="002277F8" w:rsidRDefault="00CC5F39" w:rsidP="00C154B6">
      <w:pPr>
        <w:jc w:val="both"/>
        <w:rPr>
          <w:b/>
          <w:iCs/>
          <w:color w:val="000000" w:themeColor="text1"/>
          <w:lang w:eastAsia="ja-JP"/>
        </w:rPr>
      </w:pPr>
      <w:r>
        <w:rPr>
          <w:b/>
          <w:iCs/>
          <w:color w:val="000000" w:themeColor="text1"/>
          <w:lang w:eastAsia="ja-JP"/>
        </w:rPr>
        <w:t>Proposal 6</w:t>
      </w:r>
      <w:r w:rsidR="00C154B6" w:rsidRPr="002277F8">
        <w:rPr>
          <w:b/>
          <w:iCs/>
          <w:color w:val="000000" w:themeColor="text1"/>
          <w:lang w:eastAsia="ja-JP"/>
        </w:rPr>
        <w:t>: The dynamic HARQ management is supported under the sTTI operation.</w:t>
      </w:r>
    </w:p>
    <w:p w14:paraId="47270E31" w14:textId="729F091A" w:rsidR="00A46129" w:rsidRPr="002277F8" w:rsidRDefault="00CC5F39" w:rsidP="00A46129">
      <w:pPr>
        <w:jc w:val="both"/>
        <w:rPr>
          <w:rFonts w:ascii="Arial" w:hAnsi="Arial"/>
          <w:sz w:val="36"/>
          <w:lang w:val="en-GB"/>
        </w:rPr>
      </w:pPr>
      <w:r>
        <w:rPr>
          <w:b/>
          <w:iCs/>
          <w:color w:val="000000" w:themeColor="text1"/>
          <w:lang w:eastAsia="ja-JP"/>
        </w:rPr>
        <w:t>Proposal 7</w:t>
      </w:r>
      <w:r w:rsidR="00A46129">
        <w:rPr>
          <w:b/>
          <w:iCs/>
          <w:color w:val="000000" w:themeColor="text1"/>
          <w:lang w:eastAsia="ja-JP"/>
        </w:rPr>
        <w:t xml:space="preserve">: If the new TB fails decoding, in case all HARQ buffers are occupied, then the selection of the HARQ buffer for storing soft channel bits is up to UE’s implementation.  </w:t>
      </w:r>
      <w:r w:rsidR="00A46129" w:rsidRPr="002277F8">
        <w:rPr>
          <w:rFonts w:ascii="Arial" w:hAnsi="Arial"/>
          <w:sz w:val="36"/>
          <w:lang w:val="en-GB"/>
        </w:rPr>
        <w:t xml:space="preserve"> </w:t>
      </w:r>
    </w:p>
    <w:p w14:paraId="0856345E" w14:textId="77777777" w:rsidR="00CC5F39" w:rsidRPr="00CC5F39" w:rsidRDefault="00CC5F39" w:rsidP="00CC5F39">
      <w:pPr>
        <w:jc w:val="both"/>
        <w:rPr>
          <w:rFonts w:asciiTheme="majorBidi" w:hAnsiTheme="majorBidi" w:cstheme="majorBidi"/>
          <w:b/>
          <w:bCs/>
          <w:szCs w:val="10"/>
          <w:lang w:val="en-GB"/>
        </w:rPr>
      </w:pPr>
      <w:r w:rsidRPr="00CC5F39">
        <w:rPr>
          <w:rFonts w:asciiTheme="majorBidi" w:hAnsiTheme="majorBidi" w:cstheme="majorBidi"/>
          <w:b/>
          <w:bCs/>
          <w:szCs w:val="10"/>
          <w:lang w:val="en-GB"/>
        </w:rPr>
        <w:t>Proposal 8: The re-transmission of a TB with another (s) TTI is possible if the TB size of a codeword is no larger than the TB size of the sTTI</w:t>
      </w:r>
      <w:r>
        <w:rPr>
          <w:rFonts w:asciiTheme="majorBidi" w:hAnsiTheme="majorBidi" w:cstheme="majorBidi"/>
          <w:b/>
          <w:bCs/>
          <w:szCs w:val="10"/>
          <w:lang w:val="en-GB"/>
        </w:rPr>
        <w:t>.</w:t>
      </w:r>
    </w:p>
    <w:p w14:paraId="3B7364A1" w14:textId="77777777" w:rsidR="009936F9" w:rsidRPr="00CC5F39" w:rsidRDefault="009936F9" w:rsidP="009936F9">
      <w:pPr>
        <w:overflowPunct/>
        <w:autoSpaceDE/>
        <w:autoSpaceDN/>
        <w:adjustRightInd/>
        <w:spacing w:after="0"/>
        <w:textAlignment w:val="auto"/>
        <w:rPr>
          <w:rFonts w:asciiTheme="majorBidi" w:hAnsiTheme="majorBidi" w:cstheme="majorBidi"/>
          <w:b/>
          <w:bCs/>
          <w:szCs w:val="10"/>
          <w:lang w:val="en-GB"/>
        </w:rPr>
      </w:pPr>
      <w:r w:rsidRPr="009936F9">
        <w:rPr>
          <w:rFonts w:asciiTheme="majorBidi" w:hAnsiTheme="majorBidi" w:cstheme="majorBidi"/>
          <w:b/>
          <w:bCs/>
          <w:szCs w:val="10"/>
          <w:lang w:val="en-GB"/>
        </w:rPr>
        <w:t xml:space="preserve">Proposal 9: Only if the number of codewords of a HARQ process was initially 1, it can be re-transmitted using an sTTI.  </w:t>
      </w:r>
    </w:p>
    <w:p w14:paraId="0B2A13FD" w14:textId="77777777" w:rsidR="003A5B57" w:rsidRPr="005331F7" w:rsidRDefault="003A5B57" w:rsidP="005F5B3F">
      <w:pPr>
        <w:jc w:val="both"/>
        <w:rPr>
          <w:b/>
          <w:iCs/>
        </w:rPr>
      </w:pPr>
    </w:p>
    <w:p w14:paraId="05212290" w14:textId="4CCF869D" w:rsidR="009B3BC3" w:rsidRPr="009B3BC3" w:rsidRDefault="009B3BC3" w:rsidP="00D90176">
      <w:pPr>
        <w:jc w:val="both"/>
        <w:rPr>
          <w:b/>
        </w:rPr>
      </w:pPr>
    </w:p>
    <w:sectPr w:rsidR="009B3BC3" w:rsidRPr="009B3BC3" w:rsidSect="00E054B7">
      <w:headerReference w:type="even" r:id="rId13"/>
      <w:footerReference w:type="even" r:id="rId14"/>
      <w:footerReference w:type="default" r:id="rId15"/>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F8AA5B" w14:textId="77777777" w:rsidR="008B6C45" w:rsidRDefault="008B6C45">
      <w:r>
        <w:separator/>
      </w:r>
    </w:p>
  </w:endnote>
  <w:endnote w:type="continuationSeparator" w:id="0">
    <w:p w14:paraId="1EC3D883" w14:textId="77777777" w:rsidR="008B6C45" w:rsidRDefault="008B6C45">
      <w:r>
        <w:continuationSeparator/>
      </w:r>
    </w:p>
  </w:endnote>
  <w:endnote w:type="continuationNotice" w:id="1">
    <w:p w14:paraId="2B78E674" w14:textId="77777777" w:rsidR="008B6C45" w:rsidRDefault="008B6C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e Regular">
    <w:altName w:val="Cambri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23873" w14:textId="77777777" w:rsidR="00DC5A5E" w:rsidRDefault="00DC5A5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DC5A5E" w:rsidRDefault="00DC5A5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79E23B" w14:textId="31D08C45" w:rsidR="00DC5A5E" w:rsidRDefault="00DC5A5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DE755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E7550">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89A673" w14:textId="77777777" w:rsidR="008B6C45" w:rsidRDefault="008B6C45">
      <w:r>
        <w:separator/>
      </w:r>
    </w:p>
  </w:footnote>
  <w:footnote w:type="continuationSeparator" w:id="0">
    <w:p w14:paraId="55DFA9FD" w14:textId="77777777" w:rsidR="008B6C45" w:rsidRDefault="008B6C45">
      <w:r>
        <w:continuationSeparator/>
      </w:r>
    </w:p>
  </w:footnote>
  <w:footnote w:type="continuationNotice" w:id="1">
    <w:p w14:paraId="29577AA3" w14:textId="77777777" w:rsidR="008B6C45" w:rsidRDefault="008B6C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2188DA" w14:textId="77777777" w:rsidR="00DC5A5E" w:rsidRDefault="00DC5A5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8F1"/>
    <w:multiLevelType w:val="hybridMultilevel"/>
    <w:tmpl w:val="9A309986"/>
    <w:lvl w:ilvl="0" w:tplc="0950AC5C">
      <w:start w:val="1"/>
      <w:numFmt w:val="bullet"/>
      <w:lvlText w:val="-"/>
      <w:lvlJc w:val="left"/>
      <w:pPr>
        <w:ind w:left="1440" w:hanging="360"/>
      </w:pPr>
      <w:rPr>
        <w:rFonts w:ascii="Calibri" w:hAnsi="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D646675"/>
    <w:multiLevelType w:val="hybridMultilevel"/>
    <w:tmpl w:val="9FE81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CB243C"/>
    <w:multiLevelType w:val="hybridMultilevel"/>
    <w:tmpl w:val="AFE80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BD4520"/>
    <w:multiLevelType w:val="hybridMultilevel"/>
    <w:tmpl w:val="DA1AC9A6"/>
    <w:lvl w:ilvl="0" w:tplc="9934DEDA">
      <w:numFmt w:val="bullet"/>
      <w:lvlText w:val=""/>
      <w:lvlJc w:val="left"/>
      <w:pPr>
        <w:ind w:left="720" w:hanging="360"/>
      </w:pPr>
      <w:rPr>
        <w:rFonts w:ascii="Symbol" w:eastAsia="SimSun" w:hAnsi="Symbol" w:cs="Times New Roman"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E9411A"/>
    <w:multiLevelType w:val="hybridMultilevel"/>
    <w:tmpl w:val="A8682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4D3567"/>
    <w:multiLevelType w:val="hybridMultilevel"/>
    <w:tmpl w:val="DFC8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320EA"/>
    <w:multiLevelType w:val="hybridMultilevel"/>
    <w:tmpl w:val="B6B61664"/>
    <w:lvl w:ilvl="0" w:tplc="82A8D06A">
      <w:start w:val="1"/>
      <w:numFmt w:val="bullet"/>
      <w:lvlText w:val="•"/>
      <w:lvlJc w:val="left"/>
      <w:pPr>
        <w:tabs>
          <w:tab w:val="num" w:pos="720"/>
        </w:tabs>
        <w:ind w:left="720" w:hanging="360"/>
      </w:pPr>
      <w:rPr>
        <w:rFonts w:ascii="Arial" w:hAnsi="Arial" w:hint="default"/>
      </w:rPr>
    </w:lvl>
    <w:lvl w:ilvl="1" w:tplc="10D4EE68">
      <w:numFmt w:val="bullet"/>
      <w:lvlText w:val="–"/>
      <w:lvlJc w:val="left"/>
      <w:pPr>
        <w:tabs>
          <w:tab w:val="num" w:pos="1440"/>
        </w:tabs>
        <w:ind w:left="1440" w:hanging="360"/>
      </w:pPr>
      <w:rPr>
        <w:rFonts w:ascii="Arial" w:hAnsi="Arial" w:hint="default"/>
      </w:rPr>
    </w:lvl>
    <w:lvl w:ilvl="2" w:tplc="CB4E1E50" w:tentative="1">
      <w:start w:val="1"/>
      <w:numFmt w:val="bullet"/>
      <w:lvlText w:val="•"/>
      <w:lvlJc w:val="left"/>
      <w:pPr>
        <w:tabs>
          <w:tab w:val="num" w:pos="2160"/>
        </w:tabs>
        <w:ind w:left="2160" w:hanging="360"/>
      </w:pPr>
      <w:rPr>
        <w:rFonts w:ascii="Arial" w:hAnsi="Arial" w:hint="default"/>
      </w:rPr>
    </w:lvl>
    <w:lvl w:ilvl="3" w:tplc="23A022E8" w:tentative="1">
      <w:start w:val="1"/>
      <w:numFmt w:val="bullet"/>
      <w:lvlText w:val="•"/>
      <w:lvlJc w:val="left"/>
      <w:pPr>
        <w:tabs>
          <w:tab w:val="num" w:pos="2880"/>
        </w:tabs>
        <w:ind w:left="2880" w:hanging="360"/>
      </w:pPr>
      <w:rPr>
        <w:rFonts w:ascii="Arial" w:hAnsi="Arial" w:hint="default"/>
      </w:rPr>
    </w:lvl>
    <w:lvl w:ilvl="4" w:tplc="90CC6E8E" w:tentative="1">
      <w:start w:val="1"/>
      <w:numFmt w:val="bullet"/>
      <w:lvlText w:val="•"/>
      <w:lvlJc w:val="left"/>
      <w:pPr>
        <w:tabs>
          <w:tab w:val="num" w:pos="3600"/>
        </w:tabs>
        <w:ind w:left="3600" w:hanging="360"/>
      </w:pPr>
      <w:rPr>
        <w:rFonts w:ascii="Arial" w:hAnsi="Arial" w:hint="default"/>
      </w:rPr>
    </w:lvl>
    <w:lvl w:ilvl="5" w:tplc="BA8C01C2" w:tentative="1">
      <w:start w:val="1"/>
      <w:numFmt w:val="bullet"/>
      <w:lvlText w:val="•"/>
      <w:lvlJc w:val="left"/>
      <w:pPr>
        <w:tabs>
          <w:tab w:val="num" w:pos="4320"/>
        </w:tabs>
        <w:ind w:left="4320" w:hanging="360"/>
      </w:pPr>
      <w:rPr>
        <w:rFonts w:ascii="Arial" w:hAnsi="Arial" w:hint="default"/>
      </w:rPr>
    </w:lvl>
    <w:lvl w:ilvl="6" w:tplc="CF964C80" w:tentative="1">
      <w:start w:val="1"/>
      <w:numFmt w:val="bullet"/>
      <w:lvlText w:val="•"/>
      <w:lvlJc w:val="left"/>
      <w:pPr>
        <w:tabs>
          <w:tab w:val="num" w:pos="5040"/>
        </w:tabs>
        <w:ind w:left="5040" w:hanging="360"/>
      </w:pPr>
      <w:rPr>
        <w:rFonts w:ascii="Arial" w:hAnsi="Arial" w:hint="default"/>
      </w:rPr>
    </w:lvl>
    <w:lvl w:ilvl="7" w:tplc="23361522" w:tentative="1">
      <w:start w:val="1"/>
      <w:numFmt w:val="bullet"/>
      <w:lvlText w:val="•"/>
      <w:lvlJc w:val="left"/>
      <w:pPr>
        <w:tabs>
          <w:tab w:val="num" w:pos="5760"/>
        </w:tabs>
        <w:ind w:left="5760" w:hanging="360"/>
      </w:pPr>
      <w:rPr>
        <w:rFonts w:ascii="Arial" w:hAnsi="Arial" w:hint="default"/>
      </w:rPr>
    </w:lvl>
    <w:lvl w:ilvl="8" w:tplc="1C484BF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9481346"/>
    <w:multiLevelType w:val="hybridMultilevel"/>
    <w:tmpl w:val="2C869390"/>
    <w:lvl w:ilvl="0" w:tplc="F6DE3358">
      <w:numFmt w:val="bullet"/>
      <w:lvlText w:val="-"/>
      <w:lvlJc w:val="left"/>
      <w:pPr>
        <w:ind w:left="360" w:hanging="360"/>
      </w:pPr>
      <w:rPr>
        <w:rFonts w:ascii="Times New Roman" w:eastAsia="MS Mincho"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4B858C8"/>
    <w:multiLevelType w:val="hybridMultilevel"/>
    <w:tmpl w:val="5194FCCE"/>
    <w:lvl w:ilvl="0" w:tplc="1ADCC62E">
      <w:start w:val="1"/>
      <w:numFmt w:val="bullet"/>
      <w:lvlText w:val=""/>
      <w:lvlJc w:val="left"/>
      <w:pPr>
        <w:tabs>
          <w:tab w:val="num" w:pos="720"/>
        </w:tabs>
        <w:ind w:left="720" w:hanging="360"/>
      </w:pPr>
      <w:rPr>
        <w:rFonts w:ascii="Wingdings" w:hAnsi="Wingdings" w:hint="default"/>
      </w:rPr>
    </w:lvl>
    <w:lvl w:ilvl="1" w:tplc="853A9C20">
      <w:start w:val="1"/>
      <w:numFmt w:val="bullet"/>
      <w:lvlText w:val=""/>
      <w:lvlJc w:val="left"/>
      <w:pPr>
        <w:tabs>
          <w:tab w:val="num" w:pos="1440"/>
        </w:tabs>
        <w:ind w:left="1440" w:hanging="360"/>
      </w:pPr>
      <w:rPr>
        <w:rFonts w:ascii="Wingdings" w:hAnsi="Wingdings" w:hint="default"/>
      </w:rPr>
    </w:lvl>
    <w:lvl w:ilvl="2" w:tplc="E8545A76" w:tentative="1">
      <w:start w:val="1"/>
      <w:numFmt w:val="bullet"/>
      <w:lvlText w:val=""/>
      <w:lvlJc w:val="left"/>
      <w:pPr>
        <w:tabs>
          <w:tab w:val="num" w:pos="2160"/>
        </w:tabs>
        <w:ind w:left="2160" w:hanging="360"/>
      </w:pPr>
      <w:rPr>
        <w:rFonts w:ascii="Wingdings" w:hAnsi="Wingdings" w:hint="default"/>
      </w:rPr>
    </w:lvl>
    <w:lvl w:ilvl="3" w:tplc="E1D2CDAC" w:tentative="1">
      <w:start w:val="1"/>
      <w:numFmt w:val="bullet"/>
      <w:lvlText w:val=""/>
      <w:lvlJc w:val="left"/>
      <w:pPr>
        <w:tabs>
          <w:tab w:val="num" w:pos="2880"/>
        </w:tabs>
        <w:ind w:left="2880" w:hanging="360"/>
      </w:pPr>
      <w:rPr>
        <w:rFonts w:ascii="Wingdings" w:hAnsi="Wingdings" w:hint="default"/>
      </w:rPr>
    </w:lvl>
    <w:lvl w:ilvl="4" w:tplc="B9EC1024" w:tentative="1">
      <w:start w:val="1"/>
      <w:numFmt w:val="bullet"/>
      <w:lvlText w:val=""/>
      <w:lvlJc w:val="left"/>
      <w:pPr>
        <w:tabs>
          <w:tab w:val="num" w:pos="3600"/>
        </w:tabs>
        <w:ind w:left="3600" w:hanging="360"/>
      </w:pPr>
      <w:rPr>
        <w:rFonts w:ascii="Wingdings" w:hAnsi="Wingdings" w:hint="default"/>
      </w:rPr>
    </w:lvl>
    <w:lvl w:ilvl="5" w:tplc="A302F8F0" w:tentative="1">
      <w:start w:val="1"/>
      <w:numFmt w:val="bullet"/>
      <w:lvlText w:val=""/>
      <w:lvlJc w:val="left"/>
      <w:pPr>
        <w:tabs>
          <w:tab w:val="num" w:pos="4320"/>
        </w:tabs>
        <w:ind w:left="4320" w:hanging="360"/>
      </w:pPr>
      <w:rPr>
        <w:rFonts w:ascii="Wingdings" w:hAnsi="Wingdings" w:hint="default"/>
      </w:rPr>
    </w:lvl>
    <w:lvl w:ilvl="6" w:tplc="9084842A" w:tentative="1">
      <w:start w:val="1"/>
      <w:numFmt w:val="bullet"/>
      <w:lvlText w:val=""/>
      <w:lvlJc w:val="left"/>
      <w:pPr>
        <w:tabs>
          <w:tab w:val="num" w:pos="5040"/>
        </w:tabs>
        <w:ind w:left="5040" w:hanging="360"/>
      </w:pPr>
      <w:rPr>
        <w:rFonts w:ascii="Wingdings" w:hAnsi="Wingdings" w:hint="default"/>
      </w:rPr>
    </w:lvl>
    <w:lvl w:ilvl="7" w:tplc="D8165230" w:tentative="1">
      <w:start w:val="1"/>
      <w:numFmt w:val="bullet"/>
      <w:lvlText w:val=""/>
      <w:lvlJc w:val="left"/>
      <w:pPr>
        <w:tabs>
          <w:tab w:val="num" w:pos="5760"/>
        </w:tabs>
        <w:ind w:left="5760" w:hanging="360"/>
      </w:pPr>
      <w:rPr>
        <w:rFonts w:ascii="Wingdings" w:hAnsi="Wingdings" w:hint="default"/>
      </w:rPr>
    </w:lvl>
    <w:lvl w:ilvl="8" w:tplc="730028A0"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5490E22"/>
    <w:multiLevelType w:val="hybridMultilevel"/>
    <w:tmpl w:val="D3B07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B266FA"/>
    <w:multiLevelType w:val="hybridMultilevel"/>
    <w:tmpl w:val="70E69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C06255"/>
    <w:multiLevelType w:val="hybridMultilevel"/>
    <w:tmpl w:val="92BEF55E"/>
    <w:lvl w:ilvl="0" w:tplc="FD82267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B132A3"/>
    <w:multiLevelType w:val="hybridMultilevel"/>
    <w:tmpl w:val="C052BD6C"/>
    <w:lvl w:ilvl="0" w:tplc="5F187870">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D238F2"/>
    <w:multiLevelType w:val="hybridMultilevel"/>
    <w:tmpl w:val="EE469AD8"/>
    <w:lvl w:ilvl="0" w:tplc="A7829E36">
      <w:start w:val="1"/>
      <w:numFmt w:val="decimal"/>
      <w:lvlText w:val="%1."/>
      <w:lvlJc w:val="left"/>
      <w:pPr>
        <w:ind w:left="1619" w:hanging="360"/>
      </w:pPr>
      <w:rPr>
        <w:b/>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5" w15:restartNumberingAfterBreak="0">
    <w:nsid w:val="2DAA16BD"/>
    <w:multiLevelType w:val="hybridMultilevel"/>
    <w:tmpl w:val="7598A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332734"/>
    <w:multiLevelType w:val="hybridMultilevel"/>
    <w:tmpl w:val="6D48E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2350E7"/>
    <w:multiLevelType w:val="hybridMultilevel"/>
    <w:tmpl w:val="0B3E8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007792"/>
    <w:multiLevelType w:val="hybridMultilevel"/>
    <w:tmpl w:val="B396F3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9C6468"/>
    <w:multiLevelType w:val="hybridMultilevel"/>
    <w:tmpl w:val="76E809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AF4CB8"/>
    <w:multiLevelType w:val="hybridMultilevel"/>
    <w:tmpl w:val="00A2893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FE707F"/>
    <w:multiLevelType w:val="hybridMultilevel"/>
    <w:tmpl w:val="FEAA5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2018BD"/>
    <w:multiLevelType w:val="hybridMultilevel"/>
    <w:tmpl w:val="BBECE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1B4E95"/>
    <w:multiLevelType w:val="hybridMultilevel"/>
    <w:tmpl w:val="6FD0D690"/>
    <w:lvl w:ilvl="0" w:tplc="2C6A505A">
      <w:start w:val="1"/>
      <w:numFmt w:val="bullet"/>
      <w:lvlText w:val="•"/>
      <w:lvlJc w:val="left"/>
      <w:pPr>
        <w:tabs>
          <w:tab w:val="num" w:pos="720"/>
        </w:tabs>
        <w:ind w:left="720" w:hanging="360"/>
      </w:pPr>
      <w:rPr>
        <w:rFonts w:ascii="Arial" w:hAnsi="Arial" w:hint="default"/>
      </w:rPr>
    </w:lvl>
    <w:lvl w:ilvl="1" w:tplc="F6C483B8">
      <w:numFmt w:val="bullet"/>
      <w:lvlText w:val="–"/>
      <w:lvlJc w:val="left"/>
      <w:pPr>
        <w:tabs>
          <w:tab w:val="num" w:pos="1440"/>
        </w:tabs>
        <w:ind w:left="1440" w:hanging="360"/>
      </w:pPr>
      <w:rPr>
        <w:rFonts w:ascii="Arial" w:hAnsi="Arial" w:hint="default"/>
      </w:rPr>
    </w:lvl>
    <w:lvl w:ilvl="2" w:tplc="C3286A30" w:tentative="1">
      <w:start w:val="1"/>
      <w:numFmt w:val="bullet"/>
      <w:lvlText w:val="•"/>
      <w:lvlJc w:val="left"/>
      <w:pPr>
        <w:tabs>
          <w:tab w:val="num" w:pos="2160"/>
        </w:tabs>
        <w:ind w:left="2160" w:hanging="360"/>
      </w:pPr>
      <w:rPr>
        <w:rFonts w:ascii="Arial" w:hAnsi="Arial" w:hint="default"/>
      </w:rPr>
    </w:lvl>
    <w:lvl w:ilvl="3" w:tplc="3BB86B2E" w:tentative="1">
      <w:start w:val="1"/>
      <w:numFmt w:val="bullet"/>
      <w:lvlText w:val="•"/>
      <w:lvlJc w:val="left"/>
      <w:pPr>
        <w:tabs>
          <w:tab w:val="num" w:pos="2880"/>
        </w:tabs>
        <w:ind w:left="2880" w:hanging="360"/>
      </w:pPr>
      <w:rPr>
        <w:rFonts w:ascii="Arial" w:hAnsi="Arial" w:hint="default"/>
      </w:rPr>
    </w:lvl>
    <w:lvl w:ilvl="4" w:tplc="1D8628B8" w:tentative="1">
      <w:start w:val="1"/>
      <w:numFmt w:val="bullet"/>
      <w:lvlText w:val="•"/>
      <w:lvlJc w:val="left"/>
      <w:pPr>
        <w:tabs>
          <w:tab w:val="num" w:pos="3600"/>
        </w:tabs>
        <w:ind w:left="3600" w:hanging="360"/>
      </w:pPr>
      <w:rPr>
        <w:rFonts w:ascii="Arial" w:hAnsi="Arial" w:hint="default"/>
      </w:rPr>
    </w:lvl>
    <w:lvl w:ilvl="5" w:tplc="84ECB1D6" w:tentative="1">
      <w:start w:val="1"/>
      <w:numFmt w:val="bullet"/>
      <w:lvlText w:val="•"/>
      <w:lvlJc w:val="left"/>
      <w:pPr>
        <w:tabs>
          <w:tab w:val="num" w:pos="4320"/>
        </w:tabs>
        <w:ind w:left="4320" w:hanging="360"/>
      </w:pPr>
      <w:rPr>
        <w:rFonts w:ascii="Arial" w:hAnsi="Arial" w:hint="default"/>
      </w:rPr>
    </w:lvl>
    <w:lvl w:ilvl="6" w:tplc="D7AC66E2" w:tentative="1">
      <w:start w:val="1"/>
      <w:numFmt w:val="bullet"/>
      <w:lvlText w:val="•"/>
      <w:lvlJc w:val="left"/>
      <w:pPr>
        <w:tabs>
          <w:tab w:val="num" w:pos="5040"/>
        </w:tabs>
        <w:ind w:left="5040" w:hanging="360"/>
      </w:pPr>
      <w:rPr>
        <w:rFonts w:ascii="Arial" w:hAnsi="Arial" w:hint="default"/>
      </w:rPr>
    </w:lvl>
    <w:lvl w:ilvl="7" w:tplc="5538DA70" w:tentative="1">
      <w:start w:val="1"/>
      <w:numFmt w:val="bullet"/>
      <w:lvlText w:val="•"/>
      <w:lvlJc w:val="left"/>
      <w:pPr>
        <w:tabs>
          <w:tab w:val="num" w:pos="5760"/>
        </w:tabs>
        <w:ind w:left="5760" w:hanging="360"/>
      </w:pPr>
      <w:rPr>
        <w:rFonts w:ascii="Arial" w:hAnsi="Arial" w:hint="default"/>
      </w:rPr>
    </w:lvl>
    <w:lvl w:ilvl="8" w:tplc="8EE0BCE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E4212A2"/>
    <w:multiLevelType w:val="hybridMultilevel"/>
    <w:tmpl w:val="54DCDA92"/>
    <w:lvl w:ilvl="0" w:tplc="1E446F96">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1B07CF"/>
    <w:multiLevelType w:val="hybridMultilevel"/>
    <w:tmpl w:val="6E041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B377A4"/>
    <w:multiLevelType w:val="hybridMultilevel"/>
    <w:tmpl w:val="C1F8D8C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5BF5562"/>
    <w:multiLevelType w:val="hybridMultilevel"/>
    <w:tmpl w:val="AF3E5474"/>
    <w:lvl w:ilvl="0" w:tplc="70B8B4A6">
      <w:start w:val="1"/>
      <w:numFmt w:val="bullet"/>
      <w:lvlText w:val=""/>
      <w:lvlJc w:val="left"/>
      <w:pPr>
        <w:tabs>
          <w:tab w:val="num" w:pos="720"/>
        </w:tabs>
        <w:ind w:left="720" w:hanging="360"/>
      </w:pPr>
      <w:rPr>
        <w:rFonts w:ascii="Symbol" w:hAnsi="Symbol" w:hint="default"/>
      </w:rPr>
    </w:lvl>
    <w:lvl w:ilvl="1" w:tplc="F3CA5828">
      <w:numFmt w:val="bullet"/>
      <w:lvlText w:val="−"/>
      <w:lvlJc w:val="left"/>
      <w:pPr>
        <w:tabs>
          <w:tab w:val="num" w:pos="1440"/>
        </w:tabs>
        <w:ind w:left="1440" w:hanging="360"/>
      </w:pPr>
      <w:rPr>
        <w:rFonts w:ascii="Calibre Regular" w:hAnsi="Calibre Regular" w:hint="default"/>
      </w:rPr>
    </w:lvl>
    <w:lvl w:ilvl="2" w:tplc="62D86070">
      <w:numFmt w:val="bullet"/>
      <w:lvlText w:val="−"/>
      <w:lvlJc w:val="left"/>
      <w:pPr>
        <w:tabs>
          <w:tab w:val="num" w:pos="2160"/>
        </w:tabs>
        <w:ind w:left="2160" w:hanging="360"/>
      </w:pPr>
      <w:rPr>
        <w:rFonts w:ascii="Calibre Regular" w:hAnsi="Calibre Regular" w:hint="default"/>
      </w:rPr>
    </w:lvl>
    <w:lvl w:ilvl="3" w:tplc="1CE4CB46" w:tentative="1">
      <w:start w:val="1"/>
      <w:numFmt w:val="bullet"/>
      <w:lvlText w:val=""/>
      <w:lvlJc w:val="left"/>
      <w:pPr>
        <w:tabs>
          <w:tab w:val="num" w:pos="2880"/>
        </w:tabs>
        <w:ind w:left="2880" w:hanging="360"/>
      </w:pPr>
      <w:rPr>
        <w:rFonts w:ascii="Symbol" w:hAnsi="Symbol" w:hint="default"/>
      </w:rPr>
    </w:lvl>
    <w:lvl w:ilvl="4" w:tplc="C10EA7EE" w:tentative="1">
      <w:start w:val="1"/>
      <w:numFmt w:val="bullet"/>
      <w:lvlText w:val=""/>
      <w:lvlJc w:val="left"/>
      <w:pPr>
        <w:tabs>
          <w:tab w:val="num" w:pos="3600"/>
        </w:tabs>
        <w:ind w:left="3600" w:hanging="360"/>
      </w:pPr>
      <w:rPr>
        <w:rFonts w:ascii="Symbol" w:hAnsi="Symbol" w:hint="default"/>
      </w:rPr>
    </w:lvl>
    <w:lvl w:ilvl="5" w:tplc="C8285E2A" w:tentative="1">
      <w:start w:val="1"/>
      <w:numFmt w:val="bullet"/>
      <w:lvlText w:val=""/>
      <w:lvlJc w:val="left"/>
      <w:pPr>
        <w:tabs>
          <w:tab w:val="num" w:pos="4320"/>
        </w:tabs>
        <w:ind w:left="4320" w:hanging="360"/>
      </w:pPr>
      <w:rPr>
        <w:rFonts w:ascii="Symbol" w:hAnsi="Symbol" w:hint="default"/>
      </w:rPr>
    </w:lvl>
    <w:lvl w:ilvl="6" w:tplc="FDFC588A" w:tentative="1">
      <w:start w:val="1"/>
      <w:numFmt w:val="bullet"/>
      <w:lvlText w:val=""/>
      <w:lvlJc w:val="left"/>
      <w:pPr>
        <w:tabs>
          <w:tab w:val="num" w:pos="5040"/>
        </w:tabs>
        <w:ind w:left="5040" w:hanging="360"/>
      </w:pPr>
      <w:rPr>
        <w:rFonts w:ascii="Symbol" w:hAnsi="Symbol" w:hint="default"/>
      </w:rPr>
    </w:lvl>
    <w:lvl w:ilvl="7" w:tplc="328476EC" w:tentative="1">
      <w:start w:val="1"/>
      <w:numFmt w:val="bullet"/>
      <w:lvlText w:val=""/>
      <w:lvlJc w:val="left"/>
      <w:pPr>
        <w:tabs>
          <w:tab w:val="num" w:pos="5760"/>
        </w:tabs>
        <w:ind w:left="5760" w:hanging="360"/>
      </w:pPr>
      <w:rPr>
        <w:rFonts w:ascii="Symbol" w:hAnsi="Symbol" w:hint="default"/>
      </w:rPr>
    </w:lvl>
    <w:lvl w:ilvl="8" w:tplc="E0CA40AE"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596412F7"/>
    <w:multiLevelType w:val="hybridMultilevel"/>
    <w:tmpl w:val="C408DD02"/>
    <w:lvl w:ilvl="0" w:tplc="945CF10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2F0882"/>
    <w:multiLevelType w:val="hybridMultilevel"/>
    <w:tmpl w:val="AD8EBA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47037D"/>
    <w:multiLevelType w:val="hybridMultilevel"/>
    <w:tmpl w:val="095EC0C6"/>
    <w:lvl w:ilvl="0" w:tplc="F8740B78">
      <w:start w:val="1"/>
      <w:numFmt w:val="bullet"/>
      <w:lvlText w:val="•"/>
      <w:lvlJc w:val="left"/>
      <w:pPr>
        <w:tabs>
          <w:tab w:val="num" w:pos="720"/>
        </w:tabs>
        <w:ind w:left="720" w:hanging="360"/>
      </w:pPr>
      <w:rPr>
        <w:rFonts w:ascii="Arial" w:hAnsi="Arial" w:hint="default"/>
      </w:rPr>
    </w:lvl>
    <w:lvl w:ilvl="1" w:tplc="7B864528">
      <w:numFmt w:val="bullet"/>
      <w:lvlText w:val="–"/>
      <w:lvlJc w:val="left"/>
      <w:pPr>
        <w:tabs>
          <w:tab w:val="num" w:pos="1440"/>
        </w:tabs>
        <w:ind w:left="1440" w:hanging="360"/>
      </w:pPr>
      <w:rPr>
        <w:rFonts w:ascii="Arial" w:hAnsi="Arial" w:hint="default"/>
      </w:rPr>
    </w:lvl>
    <w:lvl w:ilvl="2" w:tplc="5F42FD9E" w:tentative="1">
      <w:start w:val="1"/>
      <w:numFmt w:val="bullet"/>
      <w:lvlText w:val="•"/>
      <w:lvlJc w:val="left"/>
      <w:pPr>
        <w:tabs>
          <w:tab w:val="num" w:pos="2160"/>
        </w:tabs>
        <w:ind w:left="2160" w:hanging="360"/>
      </w:pPr>
      <w:rPr>
        <w:rFonts w:ascii="Arial" w:hAnsi="Arial" w:hint="default"/>
      </w:rPr>
    </w:lvl>
    <w:lvl w:ilvl="3" w:tplc="604A5658" w:tentative="1">
      <w:start w:val="1"/>
      <w:numFmt w:val="bullet"/>
      <w:lvlText w:val="•"/>
      <w:lvlJc w:val="left"/>
      <w:pPr>
        <w:tabs>
          <w:tab w:val="num" w:pos="2880"/>
        </w:tabs>
        <w:ind w:left="2880" w:hanging="360"/>
      </w:pPr>
      <w:rPr>
        <w:rFonts w:ascii="Arial" w:hAnsi="Arial" w:hint="default"/>
      </w:rPr>
    </w:lvl>
    <w:lvl w:ilvl="4" w:tplc="CCAC7ACC" w:tentative="1">
      <w:start w:val="1"/>
      <w:numFmt w:val="bullet"/>
      <w:lvlText w:val="•"/>
      <w:lvlJc w:val="left"/>
      <w:pPr>
        <w:tabs>
          <w:tab w:val="num" w:pos="3600"/>
        </w:tabs>
        <w:ind w:left="3600" w:hanging="360"/>
      </w:pPr>
      <w:rPr>
        <w:rFonts w:ascii="Arial" w:hAnsi="Arial" w:hint="default"/>
      </w:rPr>
    </w:lvl>
    <w:lvl w:ilvl="5" w:tplc="694AC61E" w:tentative="1">
      <w:start w:val="1"/>
      <w:numFmt w:val="bullet"/>
      <w:lvlText w:val="•"/>
      <w:lvlJc w:val="left"/>
      <w:pPr>
        <w:tabs>
          <w:tab w:val="num" w:pos="4320"/>
        </w:tabs>
        <w:ind w:left="4320" w:hanging="360"/>
      </w:pPr>
      <w:rPr>
        <w:rFonts w:ascii="Arial" w:hAnsi="Arial" w:hint="default"/>
      </w:rPr>
    </w:lvl>
    <w:lvl w:ilvl="6" w:tplc="1B7EF30C" w:tentative="1">
      <w:start w:val="1"/>
      <w:numFmt w:val="bullet"/>
      <w:lvlText w:val="•"/>
      <w:lvlJc w:val="left"/>
      <w:pPr>
        <w:tabs>
          <w:tab w:val="num" w:pos="5040"/>
        </w:tabs>
        <w:ind w:left="5040" w:hanging="360"/>
      </w:pPr>
      <w:rPr>
        <w:rFonts w:ascii="Arial" w:hAnsi="Arial" w:hint="default"/>
      </w:rPr>
    </w:lvl>
    <w:lvl w:ilvl="7" w:tplc="B7CA58B2" w:tentative="1">
      <w:start w:val="1"/>
      <w:numFmt w:val="bullet"/>
      <w:lvlText w:val="•"/>
      <w:lvlJc w:val="left"/>
      <w:pPr>
        <w:tabs>
          <w:tab w:val="num" w:pos="5760"/>
        </w:tabs>
        <w:ind w:left="5760" w:hanging="360"/>
      </w:pPr>
      <w:rPr>
        <w:rFonts w:ascii="Arial" w:hAnsi="Arial" w:hint="default"/>
      </w:rPr>
    </w:lvl>
    <w:lvl w:ilvl="8" w:tplc="160AF08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AAB7E85"/>
    <w:multiLevelType w:val="hybridMultilevel"/>
    <w:tmpl w:val="017C4BE0"/>
    <w:lvl w:ilvl="0" w:tplc="5B1EFC2A">
      <w:start w:val="1"/>
      <w:numFmt w:val="bullet"/>
      <w:lvlText w:val="•"/>
      <w:lvlJc w:val="left"/>
      <w:pPr>
        <w:tabs>
          <w:tab w:val="num" w:pos="720"/>
        </w:tabs>
        <w:ind w:left="720" w:hanging="360"/>
      </w:pPr>
      <w:rPr>
        <w:rFonts w:ascii="Arial" w:hAnsi="Arial" w:hint="default"/>
      </w:rPr>
    </w:lvl>
    <w:lvl w:ilvl="1" w:tplc="8708AE26">
      <w:numFmt w:val="bullet"/>
      <w:lvlText w:val="•"/>
      <w:lvlJc w:val="left"/>
      <w:pPr>
        <w:tabs>
          <w:tab w:val="num" w:pos="1440"/>
        </w:tabs>
        <w:ind w:left="1440" w:hanging="360"/>
      </w:pPr>
      <w:rPr>
        <w:rFonts w:ascii="Arial" w:hAnsi="Arial" w:hint="default"/>
      </w:rPr>
    </w:lvl>
    <w:lvl w:ilvl="2" w:tplc="71A40666" w:tentative="1">
      <w:start w:val="1"/>
      <w:numFmt w:val="bullet"/>
      <w:lvlText w:val="•"/>
      <w:lvlJc w:val="left"/>
      <w:pPr>
        <w:tabs>
          <w:tab w:val="num" w:pos="2160"/>
        </w:tabs>
        <w:ind w:left="2160" w:hanging="360"/>
      </w:pPr>
      <w:rPr>
        <w:rFonts w:ascii="Arial" w:hAnsi="Arial" w:hint="default"/>
      </w:rPr>
    </w:lvl>
    <w:lvl w:ilvl="3" w:tplc="E2964014" w:tentative="1">
      <w:start w:val="1"/>
      <w:numFmt w:val="bullet"/>
      <w:lvlText w:val="•"/>
      <w:lvlJc w:val="left"/>
      <w:pPr>
        <w:tabs>
          <w:tab w:val="num" w:pos="2880"/>
        </w:tabs>
        <w:ind w:left="2880" w:hanging="360"/>
      </w:pPr>
      <w:rPr>
        <w:rFonts w:ascii="Arial" w:hAnsi="Arial" w:hint="default"/>
      </w:rPr>
    </w:lvl>
    <w:lvl w:ilvl="4" w:tplc="C3124112" w:tentative="1">
      <w:start w:val="1"/>
      <w:numFmt w:val="bullet"/>
      <w:lvlText w:val="•"/>
      <w:lvlJc w:val="left"/>
      <w:pPr>
        <w:tabs>
          <w:tab w:val="num" w:pos="3600"/>
        </w:tabs>
        <w:ind w:left="3600" w:hanging="360"/>
      </w:pPr>
      <w:rPr>
        <w:rFonts w:ascii="Arial" w:hAnsi="Arial" w:hint="default"/>
      </w:rPr>
    </w:lvl>
    <w:lvl w:ilvl="5" w:tplc="A84C0CA2" w:tentative="1">
      <w:start w:val="1"/>
      <w:numFmt w:val="bullet"/>
      <w:lvlText w:val="•"/>
      <w:lvlJc w:val="left"/>
      <w:pPr>
        <w:tabs>
          <w:tab w:val="num" w:pos="4320"/>
        </w:tabs>
        <w:ind w:left="4320" w:hanging="360"/>
      </w:pPr>
      <w:rPr>
        <w:rFonts w:ascii="Arial" w:hAnsi="Arial" w:hint="default"/>
      </w:rPr>
    </w:lvl>
    <w:lvl w:ilvl="6" w:tplc="213EC1E0" w:tentative="1">
      <w:start w:val="1"/>
      <w:numFmt w:val="bullet"/>
      <w:lvlText w:val="•"/>
      <w:lvlJc w:val="left"/>
      <w:pPr>
        <w:tabs>
          <w:tab w:val="num" w:pos="5040"/>
        </w:tabs>
        <w:ind w:left="5040" w:hanging="360"/>
      </w:pPr>
      <w:rPr>
        <w:rFonts w:ascii="Arial" w:hAnsi="Arial" w:hint="default"/>
      </w:rPr>
    </w:lvl>
    <w:lvl w:ilvl="7" w:tplc="532ACB16" w:tentative="1">
      <w:start w:val="1"/>
      <w:numFmt w:val="bullet"/>
      <w:lvlText w:val="•"/>
      <w:lvlJc w:val="left"/>
      <w:pPr>
        <w:tabs>
          <w:tab w:val="num" w:pos="5760"/>
        </w:tabs>
        <w:ind w:left="5760" w:hanging="360"/>
      </w:pPr>
      <w:rPr>
        <w:rFonts w:ascii="Arial" w:hAnsi="Arial" w:hint="default"/>
      </w:rPr>
    </w:lvl>
    <w:lvl w:ilvl="8" w:tplc="C1F8CCF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007162B"/>
    <w:multiLevelType w:val="hybridMultilevel"/>
    <w:tmpl w:val="4BA455AA"/>
    <w:lvl w:ilvl="0" w:tplc="23943C0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DB5EDA"/>
    <w:multiLevelType w:val="hybridMultilevel"/>
    <w:tmpl w:val="30441994"/>
    <w:lvl w:ilvl="0" w:tplc="C9AC41E2">
      <w:start w:val="1"/>
      <w:numFmt w:val="bullet"/>
      <w:lvlText w:val=""/>
      <w:lvlJc w:val="left"/>
      <w:pPr>
        <w:tabs>
          <w:tab w:val="num" w:pos="720"/>
        </w:tabs>
        <w:ind w:left="720" w:hanging="360"/>
      </w:pPr>
      <w:rPr>
        <w:rFonts w:ascii="Wingdings" w:hAnsi="Wingdings" w:hint="default"/>
      </w:rPr>
    </w:lvl>
    <w:lvl w:ilvl="1" w:tplc="D37AAD9C">
      <w:start w:val="1"/>
      <w:numFmt w:val="bullet"/>
      <w:lvlText w:val=""/>
      <w:lvlJc w:val="left"/>
      <w:pPr>
        <w:tabs>
          <w:tab w:val="num" w:pos="1440"/>
        </w:tabs>
        <w:ind w:left="1440" w:hanging="360"/>
      </w:pPr>
      <w:rPr>
        <w:rFonts w:ascii="Wingdings" w:hAnsi="Wingdings" w:hint="default"/>
      </w:rPr>
    </w:lvl>
    <w:lvl w:ilvl="2" w:tplc="EB1A0D50" w:tentative="1">
      <w:start w:val="1"/>
      <w:numFmt w:val="bullet"/>
      <w:lvlText w:val=""/>
      <w:lvlJc w:val="left"/>
      <w:pPr>
        <w:tabs>
          <w:tab w:val="num" w:pos="2160"/>
        </w:tabs>
        <w:ind w:left="2160" w:hanging="360"/>
      </w:pPr>
      <w:rPr>
        <w:rFonts w:ascii="Wingdings" w:hAnsi="Wingdings" w:hint="default"/>
      </w:rPr>
    </w:lvl>
    <w:lvl w:ilvl="3" w:tplc="12769B54" w:tentative="1">
      <w:start w:val="1"/>
      <w:numFmt w:val="bullet"/>
      <w:lvlText w:val=""/>
      <w:lvlJc w:val="left"/>
      <w:pPr>
        <w:tabs>
          <w:tab w:val="num" w:pos="2880"/>
        </w:tabs>
        <w:ind w:left="2880" w:hanging="360"/>
      </w:pPr>
      <w:rPr>
        <w:rFonts w:ascii="Wingdings" w:hAnsi="Wingdings" w:hint="default"/>
      </w:rPr>
    </w:lvl>
    <w:lvl w:ilvl="4" w:tplc="7E424524" w:tentative="1">
      <w:start w:val="1"/>
      <w:numFmt w:val="bullet"/>
      <w:lvlText w:val=""/>
      <w:lvlJc w:val="left"/>
      <w:pPr>
        <w:tabs>
          <w:tab w:val="num" w:pos="3600"/>
        </w:tabs>
        <w:ind w:left="3600" w:hanging="360"/>
      </w:pPr>
      <w:rPr>
        <w:rFonts w:ascii="Wingdings" w:hAnsi="Wingdings" w:hint="default"/>
      </w:rPr>
    </w:lvl>
    <w:lvl w:ilvl="5" w:tplc="06207B9A" w:tentative="1">
      <w:start w:val="1"/>
      <w:numFmt w:val="bullet"/>
      <w:lvlText w:val=""/>
      <w:lvlJc w:val="left"/>
      <w:pPr>
        <w:tabs>
          <w:tab w:val="num" w:pos="4320"/>
        </w:tabs>
        <w:ind w:left="4320" w:hanging="360"/>
      </w:pPr>
      <w:rPr>
        <w:rFonts w:ascii="Wingdings" w:hAnsi="Wingdings" w:hint="default"/>
      </w:rPr>
    </w:lvl>
    <w:lvl w:ilvl="6" w:tplc="2116A332" w:tentative="1">
      <w:start w:val="1"/>
      <w:numFmt w:val="bullet"/>
      <w:lvlText w:val=""/>
      <w:lvlJc w:val="left"/>
      <w:pPr>
        <w:tabs>
          <w:tab w:val="num" w:pos="5040"/>
        </w:tabs>
        <w:ind w:left="5040" w:hanging="360"/>
      </w:pPr>
      <w:rPr>
        <w:rFonts w:ascii="Wingdings" w:hAnsi="Wingdings" w:hint="default"/>
      </w:rPr>
    </w:lvl>
    <w:lvl w:ilvl="7" w:tplc="316E8F2E" w:tentative="1">
      <w:start w:val="1"/>
      <w:numFmt w:val="bullet"/>
      <w:lvlText w:val=""/>
      <w:lvlJc w:val="left"/>
      <w:pPr>
        <w:tabs>
          <w:tab w:val="num" w:pos="5760"/>
        </w:tabs>
        <w:ind w:left="5760" w:hanging="360"/>
      </w:pPr>
      <w:rPr>
        <w:rFonts w:ascii="Wingdings" w:hAnsi="Wingdings" w:hint="default"/>
      </w:rPr>
    </w:lvl>
    <w:lvl w:ilvl="8" w:tplc="4462B8EA"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
  </w:num>
  <w:num w:numId="3">
    <w:abstractNumId w:val="20"/>
  </w:num>
  <w:num w:numId="4">
    <w:abstractNumId w:val="1"/>
  </w:num>
  <w:num w:numId="5">
    <w:abstractNumId w:val="10"/>
  </w:num>
  <w:num w:numId="6">
    <w:abstractNumId w:val="32"/>
  </w:num>
  <w:num w:numId="7">
    <w:abstractNumId w:val="16"/>
  </w:num>
  <w:num w:numId="8">
    <w:abstractNumId w:val="17"/>
  </w:num>
  <w:num w:numId="9">
    <w:abstractNumId w:val="15"/>
  </w:num>
  <w:num w:numId="10">
    <w:abstractNumId w:val="25"/>
  </w:num>
  <w:num w:numId="11">
    <w:abstractNumId w:val="5"/>
  </w:num>
  <w:num w:numId="12">
    <w:abstractNumId w:val="11"/>
  </w:num>
  <w:num w:numId="13">
    <w:abstractNumId w:val="19"/>
  </w:num>
  <w:num w:numId="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num>
  <w:num w:numId="16">
    <w:abstractNumId w:val="6"/>
  </w:num>
  <w:num w:numId="17">
    <w:abstractNumId w:val="26"/>
  </w:num>
  <w:num w:numId="18">
    <w:abstractNumId w:val="9"/>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4"/>
  </w:num>
  <w:num w:numId="22">
    <w:abstractNumId w:val="23"/>
  </w:num>
  <w:num w:numId="23">
    <w:abstractNumId w:val="12"/>
  </w:num>
  <w:num w:numId="24">
    <w:abstractNumId w:val="18"/>
  </w:num>
  <w:num w:numId="25">
    <w:abstractNumId w:val="28"/>
  </w:num>
  <w:num w:numId="26">
    <w:abstractNumId w:val="33"/>
  </w:num>
  <w:num w:numId="27">
    <w:abstractNumId w:val="8"/>
  </w:num>
  <w:num w:numId="28">
    <w:abstractNumId w:val="29"/>
  </w:num>
  <w:num w:numId="29">
    <w:abstractNumId w:val="31"/>
  </w:num>
  <w:num w:numId="30">
    <w:abstractNumId w:val="30"/>
  </w:num>
  <w:num w:numId="31">
    <w:abstractNumId w:val="0"/>
  </w:num>
  <w:num w:numId="32">
    <w:abstractNumId w:val="22"/>
  </w:num>
  <w:num w:numId="33">
    <w:abstractNumId w:val="27"/>
  </w:num>
  <w:num w:numId="34">
    <w:abstractNumId w:val="21"/>
  </w:num>
  <w:num w:numId="35">
    <w:abstractNumId w:val="7"/>
  </w:num>
  <w:num w:numId="36">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4BF"/>
    <w:rsid w:val="00000515"/>
    <w:rsid w:val="00000BA6"/>
    <w:rsid w:val="0000140A"/>
    <w:rsid w:val="00001D0A"/>
    <w:rsid w:val="00001FC3"/>
    <w:rsid w:val="000020FE"/>
    <w:rsid w:val="00003131"/>
    <w:rsid w:val="000037FB"/>
    <w:rsid w:val="00004961"/>
    <w:rsid w:val="00005060"/>
    <w:rsid w:val="00005622"/>
    <w:rsid w:val="0000618A"/>
    <w:rsid w:val="000066D9"/>
    <w:rsid w:val="000070D4"/>
    <w:rsid w:val="00007730"/>
    <w:rsid w:val="0001014C"/>
    <w:rsid w:val="00010383"/>
    <w:rsid w:val="00010B78"/>
    <w:rsid w:val="000114B4"/>
    <w:rsid w:val="0001172E"/>
    <w:rsid w:val="00011F5D"/>
    <w:rsid w:val="000129BA"/>
    <w:rsid w:val="000136A3"/>
    <w:rsid w:val="00014DD7"/>
    <w:rsid w:val="00014E0B"/>
    <w:rsid w:val="00015530"/>
    <w:rsid w:val="00015962"/>
    <w:rsid w:val="000162B2"/>
    <w:rsid w:val="000164DE"/>
    <w:rsid w:val="00016B4C"/>
    <w:rsid w:val="00017013"/>
    <w:rsid w:val="00017047"/>
    <w:rsid w:val="00017CBD"/>
    <w:rsid w:val="000205C1"/>
    <w:rsid w:val="00020D61"/>
    <w:rsid w:val="000212D6"/>
    <w:rsid w:val="0002130A"/>
    <w:rsid w:val="00021DEC"/>
    <w:rsid w:val="000222F7"/>
    <w:rsid w:val="000235D7"/>
    <w:rsid w:val="00023C29"/>
    <w:rsid w:val="00023FEE"/>
    <w:rsid w:val="000248E7"/>
    <w:rsid w:val="000254DC"/>
    <w:rsid w:val="000255A1"/>
    <w:rsid w:val="000259FF"/>
    <w:rsid w:val="00025C61"/>
    <w:rsid w:val="000266AE"/>
    <w:rsid w:val="00026905"/>
    <w:rsid w:val="000300FE"/>
    <w:rsid w:val="00030F08"/>
    <w:rsid w:val="00030F74"/>
    <w:rsid w:val="000319C1"/>
    <w:rsid w:val="00031EDD"/>
    <w:rsid w:val="000349B7"/>
    <w:rsid w:val="00034A7E"/>
    <w:rsid w:val="00034B9E"/>
    <w:rsid w:val="00034C07"/>
    <w:rsid w:val="00035400"/>
    <w:rsid w:val="0003540B"/>
    <w:rsid w:val="000357CA"/>
    <w:rsid w:val="00035BA3"/>
    <w:rsid w:val="000377B8"/>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3A47"/>
    <w:rsid w:val="00054F5A"/>
    <w:rsid w:val="00055B35"/>
    <w:rsid w:val="0005602E"/>
    <w:rsid w:val="00056057"/>
    <w:rsid w:val="000565AE"/>
    <w:rsid w:val="000570A3"/>
    <w:rsid w:val="000570E2"/>
    <w:rsid w:val="0005759C"/>
    <w:rsid w:val="00057F6C"/>
    <w:rsid w:val="00060BE0"/>
    <w:rsid w:val="00060D34"/>
    <w:rsid w:val="00060FDB"/>
    <w:rsid w:val="000612C5"/>
    <w:rsid w:val="00062CA8"/>
    <w:rsid w:val="00063E21"/>
    <w:rsid w:val="00063F57"/>
    <w:rsid w:val="0006549C"/>
    <w:rsid w:val="0006633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3BF3"/>
    <w:rsid w:val="000743A0"/>
    <w:rsid w:val="000743B4"/>
    <w:rsid w:val="00074A64"/>
    <w:rsid w:val="00074BF5"/>
    <w:rsid w:val="00075680"/>
    <w:rsid w:val="00077EB9"/>
    <w:rsid w:val="000801D8"/>
    <w:rsid w:val="00080783"/>
    <w:rsid w:val="0008257A"/>
    <w:rsid w:val="00083322"/>
    <w:rsid w:val="000840E7"/>
    <w:rsid w:val="00084255"/>
    <w:rsid w:val="00084C78"/>
    <w:rsid w:val="00085465"/>
    <w:rsid w:val="00085C0B"/>
    <w:rsid w:val="00086602"/>
    <w:rsid w:val="00086864"/>
    <w:rsid w:val="00086B50"/>
    <w:rsid w:val="00087085"/>
    <w:rsid w:val="00087E29"/>
    <w:rsid w:val="00090323"/>
    <w:rsid w:val="000913D5"/>
    <w:rsid w:val="00091978"/>
    <w:rsid w:val="000931C3"/>
    <w:rsid w:val="00094EF2"/>
    <w:rsid w:val="0009559C"/>
    <w:rsid w:val="0009709B"/>
    <w:rsid w:val="000A0D72"/>
    <w:rsid w:val="000A0E99"/>
    <w:rsid w:val="000A19B6"/>
    <w:rsid w:val="000A1D49"/>
    <w:rsid w:val="000A1FB3"/>
    <w:rsid w:val="000A2AA6"/>
    <w:rsid w:val="000A356B"/>
    <w:rsid w:val="000A3ACB"/>
    <w:rsid w:val="000A3E19"/>
    <w:rsid w:val="000A4B74"/>
    <w:rsid w:val="000A6466"/>
    <w:rsid w:val="000A6788"/>
    <w:rsid w:val="000A685B"/>
    <w:rsid w:val="000A6CFE"/>
    <w:rsid w:val="000B1B68"/>
    <w:rsid w:val="000B1CD3"/>
    <w:rsid w:val="000B1FBE"/>
    <w:rsid w:val="000B23E2"/>
    <w:rsid w:val="000B245F"/>
    <w:rsid w:val="000B247A"/>
    <w:rsid w:val="000B256B"/>
    <w:rsid w:val="000B3F37"/>
    <w:rsid w:val="000B546F"/>
    <w:rsid w:val="000B5E4A"/>
    <w:rsid w:val="000B68FD"/>
    <w:rsid w:val="000B6D3D"/>
    <w:rsid w:val="000B7447"/>
    <w:rsid w:val="000B7D5E"/>
    <w:rsid w:val="000B7FC4"/>
    <w:rsid w:val="000C0CA3"/>
    <w:rsid w:val="000C0CEC"/>
    <w:rsid w:val="000C0D3F"/>
    <w:rsid w:val="000C1C35"/>
    <w:rsid w:val="000C22F2"/>
    <w:rsid w:val="000C2394"/>
    <w:rsid w:val="000C29C0"/>
    <w:rsid w:val="000C2CAD"/>
    <w:rsid w:val="000C2DC9"/>
    <w:rsid w:val="000C3BEC"/>
    <w:rsid w:val="000C40EA"/>
    <w:rsid w:val="000C45FF"/>
    <w:rsid w:val="000C6447"/>
    <w:rsid w:val="000D037E"/>
    <w:rsid w:val="000D0C91"/>
    <w:rsid w:val="000D0F9A"/>
    <w:rsid w:val="000D11B1"/>
    <w:rsid w:val="000D148D"/>
    <w:rsid w:val="000D1570"/>
    <w:rsid w:val="000D1610"/>
    <w:rsid w:val="000D1842"/>
    <w:rsid w:val="000D1A08"/>
    <w:rsid w:val="000D2920"/>
    <w:rsid w:val="000D2E6D"/>
    <w:rsid w:val="000D3387"/>
    <w:rsid w:val="000D37FA"/>
    <w:rsid w:val="000D39FA"/>
    <w:rsid w:val="000D41F3"/>
    <w:rsid w:val="000D4324"/>
    <w:rsid w:val="000D4DE6"/>
    <w:rsid w:val="000D5362"/>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830"/>
    <w:rsid w:val="000E593B"/>
    <w:rsid w:val="000E65A7"/>
    <w:rsid w:val="000E6716"/>
    <w:rsid w:val="000E68F8"/>
    <w:rsid w:val="000E6D5F"/>
    <w:rsid w:val="000E6F62"/>
    <w:rsid w:val="000E76B5"/>
    <w:rsid w:val="000F02E7"/>
    <w:rsid w:val="000F0CCA"/>
    <w:rsid w:val="000F1313"/>
    <w:rsid w:val="000F15E6"/>
    <w:rsid w:val="000F1CF3"/>
    <w:rsid w:val="000F2944"/>
    <w:rsid w:val="000F2AD9"/>
    <w:rsid w:val="000F4734"/>
    <w:rsid w:val="000F4F44"/>
    <w:rsid w:val="000F6974"/>
    <w:rsid w:val="000F6AFA"/>
    <w:rsid w:val="000F7452"/>
    <w:rsid w:val="000F794D"/>
    <w:rsid w:val="000F7B94"/>
    <w:rsid w:val="00101489"/>
    <w:rsid w:val="00101ACE"/>
    <w:rsid w:val="00102147"/>
    <w:rsid w:val="00102FE9"/>
    <w:rsid w:val="00103E0E"/>
    <w:rsid w:val="00104058"/>
    <w:rsid w:val="0010405D"/>
    <w:rsid w:val="00104228"/>
    <w:rsid w:val="00104A80"/>
    <w:rsid w:val="00105820"/>
    <w:rsid w:val="00105CEE"/>
    <w:rsid w:val="00105FC2"/>
    <w:rsid w:val="00106CC3"/>
    <w:rsid w:val="00106E7E"/>
    <w:rsid w:val="00107123"/>
    <w:rsid w:val="00107A94"/>
    <w:rsid w:val="00110030"/>
    <w:rsid w:val="00110086"/>
    <w:rsid w:val="0011051C"/>
    <w:rsid w:val="00110AE3"/>
    <w:rsid w:val="00111011"/>
    <w:rsid w:val="001115C0"/>
    <w:rsid w:val="00111AD9"/>
    <w:rsid w:val="00112B8F"/>
    <w:rsid w:val="00112CFB"/>
    <w:rsid w:val="001134DA"/>
    <w:rsid w:val="001140FA"/>
    <w:rsid w:val="001146A3"/>
    <w:rsid w:val="00114B8D"/>
    <w:rsid w:val="00114EA7"/>
    <w:rsid w:val="00115B96"/>
    <w:rsid w:val="00116B51"/>
    <w:rsid w:val="00117957"/>
    <w:rsid w:val="00117C13"/>
    <w:rsid w:val="00117FB6"/>
    <w:rsid w:val="00120545"/>
    <w:rsid w:val="00121412"/>
    <w:rsid w:val="00123993"/>
    <w:rsid w:val="0012467D"/>
    <w:rsid w:val="00124A01"/>
    <w:rsid w:val="00124D4C"/>
    <w:rsid w:val="00126536"/>
    <w:rsid w:val="001267EE"/>
    <w:rsid w:val="00127299"/>
    <w:rsid w:val="001274AC"/>
    <w:rsid w:val="001275E6"/>
    <w:rsid w:val="00127B6B"/>
    <w:rsid w:val="00127DE2"/>
    <w:rsid w:val="00130220"/>
    <w:rsid w:val="00130BA8"/>
    <w:rsid w:val="001310F5"/>
    <w:rsid w:val="00131875"/>
    <w:rsid w:val="00131AC6"/>
    <w:rsid w:val="001322B0"/>
    <w:rsid w:val="00132917"/>
    <w:rsid w:val="00133991"/>
    <w:rsid w:val="001344C1"/>
    <w:rsid w:val="0013521B"/>
    <w:rsid w:val="00135829"/>
    <w:rsid w:val="001358F4"/>
    <w:rsid w:val="00135911"/>
    <w:rsid w:val="00135E0A"/>
    <w:rsid w:val="0013612A"/>
    <w:rsid w:val="00136AAD"/>
    <w:rsid w:val="00137280"/>
    <w:rsid w:val="00137288"/>
    <w:rsid w:val="00137480"/>
    <w:rsid w:val="001410F1"/>
    <w:rsid w:val="0014161D"/>
    <w:rsid w:val="001418FE"/>
    <w:rsid w:val="00142093"/>
    <w:rsid w:val="0014244B"/>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1516"/>
    <w:rsid w:val="00151805"/>
    <w:rsid w:val="00151D5F"/>
    <w:rsid w:val="001529E0"/>
    <w:rsid w:val="00152BA8"/>
    <w:rsid w:val="00153A6B"/>
    <w:rsid w:val="00153E38"/>
    <w:rsid w:val="001544AB"/>
    <w:rsid w:val="0015452C"/>
    <w:rsid w:val="00154BE2"/>
    <w:rsid w:val="00155732"/>
    <w:rsid w:val="00155E24"/>
    <w:rsid w:val="001560ED"/>
    <w:rsid w:val="001563F1"/>
    <w:rsid w:val="001572A5"/>
    <w:rsid w:val="0015737A"/>
    <w:rsid w:val="00157847"/>
    <w:rsid w:val="00160786"/>
    <w:rsid w:val="00160A67"/>
    <w:rsid w:val="00161AEB"/>
    <w:rsid w:val="00162262"/>
    <w:rsid w:val="00162BD5"/>
    <w:rsid w:val="001630E4"/>
    <w:rsid w:val="001639BC"/>
    <w:rsid w:val="0016465B"/>
    <w:rsid w:val="001647FA"/>
    <w:rsid w:val="00166868"/>
    <w:rsid w:val="001669CF"/>
    <w:rsid w:val="00167857"/>
    <w:rsid w:val="00167C50"/>
    <w:rsid w:val="00172414"/>
    <w:rsid w:val="00172C20"/>
    <w:rsid w:val="001746E6"/>
    <w:rsid w:val="00174883"/>
    <w:rsid w:val="00174DDB"/>
    <w:rsid w:val="001752EC"/>
    <w:rsid w:val="001755CA"/>
    <w:rsid w:val="00175891"/>
    <w:rsid w:val="001758E7"/>
    <w:rsid w:val="00175B5A"/>
    <w:rsid w:val="00177A0D"/>
    <w:rsid w:val="00177EBD"/>
    <w:rsid w:val="0018016C"/>
    <w:rsid w:val="00181B3A"/>
    <w:rsid w:val="001820B2"/>
    <w:rsid w:val="001828E0"/>
    <w:rsid w:val="00183A98"/>
    <w:rsid w:val="00185E59"/>
    <w:rsid w:val="001907C8"/>
    <w:rsid w:val="00191727"/>
    <w:rsid w:val="00191924"/>
    <w:rsid w:val="00191EBF"/>
    <w:rsid w:val="00191F2D"/>
    <w:rsid w:val="001925E5"/>
    <w:rsid w:val="001934FD"/>
    <w:rsid w:val="00193B10"/>
    <w:rsid w:val="00193D91"/>
    <w:rsid w:val="0019403F"/>
    <w:rsid w:val="00194642"/>
    <w:rsid w:val="0019564C"/>
    <w:rsid w:val="0019573B"/>
    <w:rsid w:val="00196220"/>
    <w:rsid w:val="0019734F"/>
    <w:rsid w:val="001977D0"/>
    <w:rsid w:val="00197FA7"/>
    <w:rsid w:val="001A019F"/>
    <w:rsid w:val="001A0303"/>
    <w:rsid w:val="001A037C"/>
    <w:rsid w:val="001A067A"/>
    <w:rsid w:val="001A3BAB"/>
    <w:rsid w:val="001A3FA5"/>
    <w:rsid w:val="001A4334"/>
    <w:rsid w:val="001A4439"/>
    <w:rsid w:val="001A600A"/>
    <w:rsid w:val="001A66FC"/>
    <w:rsid w:val="001A7326"/>
    <w:rsid w:val="001A7697"/>
    <w:rsid w:val="001A76CF"/>
    <w:rsid w:val="001B001B"/>
    <w:rsid w:val="001B00B2"/>
    <w:rsid w:val="001B023D"/>
    <w:rsid w:val="001B0257"/>
    <w:rsid w:val="001B0989"/>
    <w:rsid w:val="001B1670"/>
    <w:rsid w:val="001B23B3"/>
    <w:rsid w:val="001B2993"/>
    <w:rsid w:val="001B2DDB"/>
    <w:rsid w:val="001B34E4"/>
    <w:rsid w:val="001B3A29"/>
    <w:rsid w:val="001B454C"/>
    <w:rsid w:val="001B4E04"/>
    <w:rsid w:val="001B5332"/>
    <w:rsid w:val="001B6D3D"/>
    <w:rsid w:val="001B70CF"/>
    <w:rsid w:val="001B7AB3"/>
    <w:rsid w:val="001C0085"/>
    <w:rsid w:val="001C063F"/>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14F"/>
    <w:rsid w:val="001D2E6C"/>
    <w:rsid w:val="001D333B"/>
    <w:rsid w:val="001D506F"/>
    <w:rsid w:val="001D57BC"/>
    <w:rsid w:val="001D59DC"/>
    <w:rsid w:val="001D6EEB"/>
    <w:rsid w:val="001D6F30"/>
    <w:rsid w:val="001D7260"/>
    <w:rsid w:val="001D7816"/>
    <w:rsid w:val="001D784C"/>
    <w:rsid w:val="001D7B96"/>
    <w:rsid w:val="001E216A"/>
    <w:rsid w:val="001E220A"/>
    <w:rsid w:val="001E2419"/>
    <w:rsid w:val="001E24F9"/>
    <w:rsid w:val="001E2C1A"/>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C95"/>
    <w:rsid w:val="001F5CEC"/>
    <w:rsid w:val="001F5E73"/>
    <w:rsid w:val="001F5ED8"/>
    <w:rsid w:val="001F6053"/>
    <w:rsid w:val="001F64CE"/>
    <w:rsid w:val="001F6A95"/>
    <w:rsid w:val="001F6D81"/>
    <w:rsid w:val="001F6E62"/>
    <w:rsid w:val="0020032D"/>
    <w:rsid w:val="002003F3"/>
    <w:rsid w:val="00200BF9"/>
    <w:rsid w:val="00201197"/>
    <w:rsid w:val="002015BA"/>
    <w:rsid w:val="00201AFC"/>
    <w:rsid w:val="00202561"/>
    <w:rsid w:val="0020293F"/>
    <w:rsid w:val="002034AA"/>
    <w:rsid w:val="002034DF"/>
    <w:rsid w:val="00203D16"/>
    <w:rsid w:val="00204733"/>
    <w:rsid w:val="002047DE"/>
    <w:rsid w:val="00204900"/>
    <w:rsid w:val="00204A5A"/>
    <w:rsid w:val="00204C07"/>
    <w:rsid w:val="00205635"/>
    <w:rsid w:val="00206246"/>
    <w:rsid w:val="002063A7"/>
    <w:rsid w:val="0020675E"/>
    <w:rsid w:val="00206E5A"/>
    <w:rsid w:val="00207613"/>
    <w:rsid w:val="00207847"/>
    <w:rsid w:val="00207934"/>
    <w:rsid w:val="002102DC"/>
    <w:rsid w:val="00210301"/>
    <w:rsid w:val="002106D1"/>
    <w:rsid w:val="00210812"/>
    <w:rsid w:val="00210A2E"/>
    <w:rsid w:val="00210C91"/>
    <w:rsid w:val="002116CA"/>
    <w:rsid w:val="00213C10"/>
    <w:rsid w:val="00213F4E"/>
    <w:rsid w:val="00213F9D"/>
    <w:rsid w:val="00214132"/>
    <w:rsid w:val="00214E0D"/>
    <w:rsid w:val="0021517F"/>
    <w:rsid w:val="002159DE"/>
    <w:rsid w:val="002165F9"/>
    <w:rsid w:val="00216685"/>
    <w:rsid w:val="00217206"/>
    <w:rsid w:val="00217441"/>
    <w:rsid w:val="002202EC"/>
    <w:rsid w:val="00221C5D"/>
    <w:rsid w:val="002226B5"/>
    <w:rsid w:val="00222DEC"/>
    <w:rsid w:val="0022312E"/>
    <w:rsid w:val="00223833"/>
    <w:rsid w:val="00223ACD"/>
    <w:rsid w:val="00223F20"/>
    <w:rsid w:val="00223FEB"/>
    <w:rsid w:val="0022425A"/>
    <w:rsid w:val="0022496C"/>
    <w:rsid w:val="00224C2D"/>
    <w:rsid w:val="00224C39"/>
    <w:rsid w:val="00226460"/>
    <w:rsid w:val="0022657F"/>
    <w:rsid w:val="00226BD3"/>
    <w:rsid w:val="002277F8"/>
    <w:rsid w:val="002279D2"/>
    <w:rsid w:val="00227FF3"/>
    <w:rsid w:val="00230814"/>
    <w:rsid w:val="002309A5"/>
    <w:rsid w:val="00230AD3"/>
    <w:rsid w:val="002314BC"/>
    <w:rsid w:val="002314EE"/>
    <w:rsid w:val="00231C70"/>
    <w:rsid w:val="00231D67"/>
    <w:rsid w:val="00235F2E"/>
    <w:rsid w:val="00236F71"/>
    <w:rsid w:val="00237779"/>
    <w:rsid w:val="00237AE0"/>
    <w:rsid w:val="00237D3F"/>
    <w:rsid w:val="00237E83"/>
    <w:rsid w:val="002400D6"/>
    <w:rsid w:val="00242284"/>
    <w:rsid w:val="00242C9E"/>
    <w:rsid w:val="0024353D"/>
    <w:rsid w:val="00243ACD"/>
    <w:rsid w:val="00244924"/>
    <w:rsid w:val="00244DF7"/>
    <w:rsid w:val="0024511F"/>
    <w:rsid w:val="00245492"/>
    <w:rsid w:val="00246C52"/>
    <w:rsid w:val="0024718C"/>
    <w:rsid w:val="00247627"/>
    <w:rsid w:val="002512A9"/>
    <w:rsid w:val="0025153E"/>
    <w:rsid w:val="0025169E"/>
    <w:rsid w:val="00251929"/>
    <w:rsid w:val="00251F5E"/>
    <w:rsid w:val="00252C5E"/>
    <w:rsid w:val="002530D6"/>
    <w:rsid w:val="0025325D"/>
    <w:rsid w:val="00253400"/>
    <w:rsid w:val="002562E9"/>
    <w:rsid w:val="00256B8F"/>
    <w:rsid w:val="00257A62"/>
    <w:rsid w:val="002605CB"/>
    <w:rsid w:val="0026075E"/>
    <w:rsid w:val="00260998"/>
    <w:rsid w:val="00261D05"/>
    <w:rsid w:val="00262830"/>
    <w:rsid w:val="00262952"/>
    <w:rsid w:val="00263BC6"/>
    <w:rsid w:val="002644D5"/>
    <w:rsid w:val="00265701"/>
    <w:rsid w:val="00265996"/>
    <w:rsid w:val="00265A57"/>
    <w:rsid w:val="00265B7E"/>
    <w:rsid w:val="00266210"/>
    <w:rsid w:val="0026716C"/>
    <w:rsid w:val="002676D3"/>
    <w:rsid w:val="00270087"/>
    <w:rsid w:val="00270D28"/>
    <w:rsid w:val="002727C8"/>
    <w:rsid w:val="00272FEB"/>
    <w:rsid w:val="002738C9"/>
    <w:rsid w:val="00273B2D"/>
    <w:rsid w:val="00273CFB"/>
    <w:rsid w:val="002745A8"/>
    <w:rsid w:val="002756D5"/>
    <w:rsid w:val="0027598E"/>
    <w:rsid w:val="00275AD2"/>
    <w:rsid w:val="00276AA1"/>
    <w:rsid w:val="0027702F"/>
    <w:rsid w:val="0027723B"/>
    <w:rsid w:val="0027731D"/>
    <w:rsid w:val="00277E66"/>
    <w:rsid w:val="00277EB5"/>
    <w:rsid w:val="00277EC3"/>
    <w:rsid w:val="00277F86"/>
    <w:rsid w:val="002801E2"/>
    <w:rsid w:val="00280B1C"/>
    <w:rsid w:val="00282055"/>
    <w:rsid w:val="00283CB6"/>
    <w:rsid w:val="002841AB"/>
    <w:rsid w:val="00284796"/>
    <w:rsid w:val="00284B31"/>
    <w:rsid w:val="002854E1"/>
    <w:rsid w:val="00285894"/>
    <w:rsid w:val="0028683B"/>
    <w:rsid w:val="00287376"/>
    <w:rsid w:val="00287C28"/>
    <w:rsid w:val="00287DA8"/>
    <w:rsid w:val="0029000D"/>
    <w:rsid w:val="00290202"/>
    <w:rsid w:val="0029048D"/>
    <w:rsid w:val="00290E60"/>
    <w:rsid w:val="00290FDC"/>
    <w:rsid w:val="00291C52"/>
    <w:rsid w:val="002923B9"/>
    <w:rsid w:val="00292C30"/>
    <w:rsid w:val="0029308D"/>
    <w:rsid w:val="00293467"/>
    <w:rsid w:val="00293504"/>
    <w:rsid w:val="002944CA"/>
    <w:rsid w:val="00295C43"/>
    <w:rsid w:val="0029639B"/>
    <w:rsid w:val="00296FD8"/>
    <w:rsid w:val="0029743A"/>
    <w:rsid w:val="00297DBE"/>
    <w:rsid w:val="002A0724"/>
    <w:rsid w:val="002A07C1"/>
    <w:rsid w:val="002A08EC"/>
    <w:rsid w:val="002A1DF0"/>
    <w:rsid w:val="002A205B"/>
    <w:rsid w:val="002A3668"/>
    <w:rsid w:val="002A53DF"/>
    <w:rsid w:val="002B03CD"/>
    <w:rsid w:val="002B07BF"/>
    <w:rsid w:val="002B0805"/>
    <w:rsid w:val="002B0FD5"/>
    <w:rsid w:val="002B11A0"/>
    <w:rsid w:val="002B26D2"/>
    <w:rsid w:val="002B2C92"/>
    <w:rsid w:val="002B318B"/>
    <w:rsid w:val="002B3BD3"/>
    <w:rsid w:val="002B3D90"/>
    <w:rsid w:val="002B475D"/>
    <w:rsid w:val="002B4B75"/>
    <w:rsid w:val="002B4FE2"/>
    <w:rsid w:val="002B68FC"/>
    <w:rsid w:val="002B7C8F"/>
    <w:rsid w:val="002B7FB1"/>
    <w:rsid w:val="002C0364"/>
    <w:rsid w:val="002C0397"/>
    <w:rsid w:val="002C0779"/>
    <w:rsid w:val="002C138C"/>
    <w:rsid w:val="002C203A"/>
    <w:rsid w:val="002C2FCD"/>
    <w:rsid w:val="002C36BB"/>
    <w:rsid w:val="002C3AE4"/>
    <w:rsid w:val="002C4749"/>
    <w:rsid w:val="002C4CB7"/>
    <w:rsid w:val="002C5620"/>
    <w:rsid w:val="002C61E0"/>
    <w:rsid w:val="002C6221"/>
    <w:rsid w:val="002C6374"/>
    <w:rsid w:val="002C7B03"/>
    <w:rsid w:val="002D0657"/>
    <w:rsid w:val="002D13B7"/>
    <w:rsid w:val="002D20FC"/>
    <w:rsid w:val="002D26FA"/>
    <w:rsid w:val="002D2B4E"/>
    <w:rsid w:val="002D4746"/>
    <w:rsid w:val="002D47AE"/>
    <w:rsid w:val="002D4E37"/>
    <w:rsid w:val="002D52E0"/>
    <w:rsid w:val="002D5A7E"/>
    <w:rsid w:val="002D68CF"/>
    <w:rsid w:val="002E042F"/>
    <w:rsid w:val="002E0AC5"/>
    <w:rsid w:val="002E16BC"/>
    <w:rsid w:val="002E1946"/>
    <w:rsid w:val="002E1A18"/>
    <w:rsid w:val="002E2455"/>
    <w:rsid w:val="002E306D"/>
    <w:rsid w:val="002E3082"/>
    <w:rsid w:val="002E3661"/>
    <w:rsid w:val="002E3BFD"/>
    <w:rsid w:val="002E3E70"/>
    <w:rsid w:val="002E481B"/>
    <w:rsid w:val="002E499F"/>
    <w:rsid w:val="002E5057"/>
    <w:rsid w:val="002E53CF"/>
    <w:rsid w:val="002E58E1"/>
    <w:rsid w:val="002E60E3"/>
    <w:rsid w:val="002E65AE"/>
    <w:rsid w:val="002E68A2"/>
    <w:rsid w:val="002E6B29"/>
    <w:rsid w:val="002E6C03"/>
    <w:rsid w:val="002F0045"/>
    <w:rsid w:val="002F025B"/>
    <w:rsid w:val="002F1E03"/>
    <w:rsid w:val="002F2AE0"/>
    <w:rsid w:val="002F2FB7"/>
    <w:rsid w:val="002F3827"/>
    <w:rsid w:val="002F413F"/>
    <w:rsid w:val="002F44AD"/>
    <w:rsid w:val="002F45D3"/>
    <w:rsid w:val="002F5C18"/>
    <w:rsid w:val="002F5FDA"/>
    <w:rsid w:val="002F6BE6"/>
    <w:rsid w:val="002F7D48"/>
    <w:rsid w:val="0030000D"/>
    <w:rsid w:val="003005AC"/>
    <w:rsid w:val="00300A26"/>
    <w:rsid w:val="003011C0"/>
    <w:rsid w:val="0030121F"/>
    <w:rsid w:val="00301890"/>
    <w:rsid w:val="00301FF3"/>
    <w:rsid w:val="003024DE"/>
    <w:rsid w:val="00302701"/>
    <w:rsid w:val="00303442"/>
    <w:rsid w:val="003044B9"/>
    <w:rsid w:val="00307063"/>
    <w:rsid w:val="003073BB"/>
    <w:rsid w:val="00307683"/>
    <w:rsid w:val="00307B27"/>
    <w:rsid w:val="00307D3F"/>
    <w:rsid w:val="0031013F"/>
    <w:rsid w:val="00311941"/>
    <w:rsid w:val="003123EA"/>
    <w:rsid w:val="003125FA"/>
    <w:rsid w:val="00313C4F"/>
    <w:rsid w:val="003158FE"/>
    <w:rsid w:val="00316717"/>
    <w:rsid w:val="00317050"/>
    <w:rsid w:val="00320B56"/>
    <w:rsid w:val="00320F94"/>
    <w:rsid w:val="00322BE3"/>
    <w:rsid w:val="003230B0"/>
    <w:rsid w:val="00323268"/>
    <w:rsid w:val="00325F5C"/>
    <w:rsid w:val="003268CF"/>
    <w:rsid w:val="00326974"/>
    <w:rsid w:val="00327A0A"/>
    <w:rsid w:val="0033007D"/>
    <w:rsid w:val="0033027D"/>
    <w:rsid w:val="003308C4"/>
    <w:rsid w:val="00330DE8"/>
    <w:rsid w:val="00331EDC"/>
    <w:rsid w:val="003323F3"/>
    <w:rsid w:val="00332535"/>
    <w:rsid w:val="0033306E"/>
    <w:rsid w:val="00333DC8"/>
    <w:rsid w:val="00335250"/>
    <w:rsid w:val="0033592C"/>
    <w:rsid w:val="00335B9C"/>
    <w:rsid w:val="00336164"/>
    <w:rsid w:val="0034150F"/>
    <w:rsid w:val="0034298C"/>
    <w:rsid w:val="0034305B"/>
    <w:rsid w:val="00343E84"/>
    <w:rsid w:val="003444EB"/>
    <w:rsid w:val="00344778"/>
    <w:rsid w:val="00344F78"/>
    <w:rsid w:val="0034511B"/>
    <w:rsid w:val="00345740"/>
    <w:rsid w:val="003504EC"/>
    <w:rsid w:val="003509B5"/>
    <w:rsid w:val="00350EF6"/>
    <w:rsid w:val="00351118"/>
    <w:rsid w:val="00351B79"/>
    <w:rsid w:val="0035244F"/>
    <w:rsid w:val="00352DAE"/>
    <w:rsid w:val="00353295"/>
    <w:rsid w:val="003539B2"/>
    <w:rsid w:val="00353A56"/>
    <w:rsid w:val="00353D7D"/>
    <w:rsid w:val="0035414B"/>
    <w:rsid w:val="00354387"/>
    <w:rsid w:val="00354D13"/>
    <w:rsid w:val="00355C3F"/>
    <w:rsid w:val="00355DD1"/>
    <w:rsid w:val="00356CEC"/>
    <w:rsid w:val="00357034"/>
    <w:rsid w:val="00357522"/>
    <w:rsid w:val="003576D7"/>
    <w:rsid w:val="00357712"/>
    <w:rsid w:val="0036185C"/>
    <w:rsid w:val="00361AFA"/>
    <w:rsid w:val="00362C5A"/>
    <w:rsid w:val="00362FFF"/>
    <w:rsid w:val="00364283"/>
    <w:rsid w:val="003643CE"/>
    <w:rsid w:val="00364C7A"/>
    <w:rsid w:val="0036641B"/>
    <w:rsid w:val="003670A6"/>
    <w:rsid w:val="00367CE6"/>
    <w:rsid w:val="00370042"/>
    <w:rsid w:val="00370285"/>
    <w:rsid w:val="003703C5"/>
    <w:rsid w:val="00370EFD"/>
    <w:rsid w:val="0037164C"/>
    <w:rsid w:val="003719F5"/>
    <w:rsid w:val="00372A6B"/>
    <w:rsid w:val="003741D2"/>
    <w:rsid w:val="00374804"/>
    <w:rsid w:val="00374F06"/>
    <w:rsid w:val="00375BD2"/>
    <w:rsid w:val="003764FA"/>
    <w:rsid w:val="00376A34"/>
    <w:rsid w:val="00376AD6"/>
    <w:rsid w:val="00376C0D"/>
    <w:rsid w:val="0037709A"/>
    <w:rsid w:val="003773C7"/>
    <w:rsid w:val="00377569"/>
    <w:rsid w:val="00377A68"/>
    <w:rsid w:val="00377CE8"/>
    <w:rsid w:val="003810EA"/>
    <w:rsid w:val="003811F7"/>
    <w:rsid w:val="0038166A"/>
    <w:rsid w:val="0038187D"/>
    <w:rsid w:val="003821E7"/>
    <w:rsid w:val="00382B96"/>
    <w:rsid w:val="00383130"/>
    <w:rsid w:val="00383D4B"/>
    <w:rsid w:val="00383FC2"/>
    <w:rsid w:val="003848D9"/>
    <w:rsid w:val="00385DBB"/>
    <w:rsid w:val="00386B71"/>
    <w:rsid w:val="003871D9"/>
    <w:rsid w:val="00387771"/>
    <w:rsid w:val="00387B4D"/>
    <w:rsid w:val="003908C2"/>
    <w:rsid w:val="0039178D"/>
    <w:rsid w:val="00392C0A"/>
    <w:rsid w:val="00393367"/>
    <w:rsid w:val="00393B78"/>
    <w:rsid w:val="00393B7F"/>
    <w:rsid w:val="003942A4"/>
    <w:rsid w:val="00394E4F"/>
    <w:rsid w:val="003959A9"/>
    <w:rsid w:val="0039665F"/>
    <w:rsid w:val="00396D81"/>
    <w:rsid w:val="003A0311"/>
    <w:rsid w:val="003A0F88"/>
    <w:rsid w:val="003A12CF"/>
    <w:rsid w:val="003A1341"/>
    <w:rsid w:val="003A19E0"/>
    <w:rsid w:val="003A1C4F"/>
    <w:rsid w:val="003A1DD5"/>
    <w:rsid w:val="003A336B"/>
    <w:rsid w:val="003A41B3"/>
    <w:rsid w:val="003A42BB"/>
    <w:rsid w:val="003A5125"/>
    <w:rsid w:val="003A590E"/>
    <w:rsid w:val="003A5B57"/>
    <w:rsid w:val="003A5C0E"/>
    <w:rsid w:val="003A6D8E"/>
    <w:rsid w:val="003B0B4D"/>
    <w:rsid w:val="003B1041"/>
    <w:rsid w:val="003B1E84"/>
    <w:rsid w:val="003B2360"/>
    <w:rsid w:val="003B3F9B"/>
    <w:rsid w:val="003B47B7"/>
    <w:rsid w:val="003B4FDE"/>
    <w:rsid w:val="003B5051"/>
    <w:rsid w:val="003B570F"/>
    <w:rsid w:val="003B5BA9"/>
    <w:rsid w:val="003B5E30"/>
    <w:rsid w:val="003B6256"/>
    <w:rsid w:val="003B640C"/>
    <w:rsid w:val="003B6FCB"/>
    <w:rsid w:val="003C00D9"/>
    <w:rsid w:val="003C0FB1"/>
    <w:rsid w:val="003C1734"/>
    <w:rsid w:val="003C1F75"/>
    <w:rsid w:val="003C23C3"/>
    <w:rsid w:val="003C28E6"/>
    <w:rsid w:val="003C4F25"/>
    <w:rsid w:val="003C5113"/>
    <w:rsid w:val="003C5FE4"/>
    <w:rsid w:val="003C6E9F"/>
    <w:rsid w:val="003C7CE7"/>
    <w:rsid w:val="003D0246"/>
    <w:rsid w:val="003D09DA"/>
    <w:rsid w:val="003D0A1E"/>
    <w:rsid w:val="003D12AF"/>
    <w:rsid w:val="003D132A"/>
    <w:rsid w:val="003D2339"/>
    <w:rsid w:val="003D26AA"/>
    <w:rsid w:val="003D3C11"/>
    <w:rsid w:val="003D4350"/>
    <w:rsid w:val="003D4409"/>
    <w:rsid w:val="003D4A54"/>
    <w:rsid w:val="003D5717"/>
    <w:rsid w:val="003D5B80"/>
    <w:rsid w:val="003D676A"/>
    <w:rsid w:val="003D6873"/>
    <w:rsid w:val="003D68E7"/>
    <w:rsid w:val="003D7FB8"/>
    <w:rsid w:val="003E034A"/>
    <w:rsid w:val="003E0CE4"/>
    <w:rsid w:val="003E15BE"/>
    <w:rsid w:val="003E1966"/>
    <w:rsid w:val="003E1CF4"/>
    <w:rsid w:val="003E2489"/>
    <w:rsid w:val="003E29F9"/>
    <w:rsid w:val="003E2FAF"/>
    <w:rsid w:val="003E3524"/>
    <w:rsid w:val="003E3B02"/>
    <w:rsid w:val="003E46DB"/>
    <w:rsid w:val="003E48A8"/>
    <w:rsid w:val="003E4CDB"/>
    <w:rsid w:val="003E6592"/>
    <w:rsid w:val="003E6B0B"/>
    <w:rsid w:val="003F0656"/>
    <w:rsid w:val="003F074F"/>
    <w:rsid w:val="003F0EBC"/>
    <w:rsid w:val="003F1133"/>
    <w:rsid w:val="003F1673"/>
    <w:rsid w:val="003F2034"/>
    <w:rsid w:val="003F2244"/>
    <w:rsid w:val="003F23B6"/>
    <w:rsid w:val="003F2624"/>
    <w:rsid w:val="003F2711"/>
    <w:rsid w:val="003F2B82"/>
    <w:rsid w:val="003F34A4"/>
    <w:rsid w:val="003F3978"/>
    <w:rsid w:val="003F3B26"/>
    <w:rsid w:val="003F44EC"/>
    <w:rsid w:val="003F4933"/>
    <w:rsid w:val="003F536B"/>
    <w:rsid w:val="003F586D"/>
    <w:rsid w:val="003F6853"/>
    <w:rsid w:val="003F6ADF"/>
    <w:rsid w:val="003F7DFF"/>
    <w:rsid w:val="0040042A"/>
    <w:rsid w:val="004009C5"/>
    <w:rsid w:val="00400E97"/>
    <w:rsid w:val="004024AB"/>
    <w:rsid w:val="0040303D"/>
    <w:rsid w:val="0040379F"/>
    <w:rsid w:val="00403883"/>
    <w:rsid w:val="00403F25"/>
    <w:rsid w:val="004041B2"/>
    <w:rsid w:val="004041BC"/>
    <w:rsid w:val="004055EE"/>
    <w:rsid w:val="00405EFB"/>
    <w:rsid w:val="0040689B"/>
    <w:rsid w:val="00406F4B"/>
    <w:rsid w:val="004073B0"/>
    <w:rsid w:val="0041093B"/>
    <w:rsid w:val="00410BEC"/>
    <w:rsid w:val="004111BE"/>
    <w:rsid w:val="004127B4"/>
    <w:rsid w:val="00412A92"/>
    <w:rsid w:val="00414587"/>
    <w:rsid w:val="004148F6"/>
    <w:rsid w:val="0041524C"/>
    <w:rsid w:val="00415A14"/>
    <w:rsid w:val="0041616C"/>
    <w:rsid w:val="00416A66"/>
    <w:rsid w:val="00417232"/>
    <w:rsid w:val="004179D9"/>
    <w:rsid w:val="004201DE"/>
    <w:rsid w:val="00420CB7"/>
    <w:rsid w:val="0042156E"/>
    <w:rsid w:val="0042221A"/>
    <w:rsid w:val="00422A10"/>
    <w:rsid w:val="00422F31"/>
    <w:rsid w:val="004243CC"/>
    <w:rsid w:val="004244C5"/>
    <w:rsid w:val="00425C97"/>
    <w:rsid w:val="00426034"/>
    <w:rsid w:val="0042654A"/>
    <w:rsid w:val="00426761"/>
    <w:rsid w:val="00426AA7"/>
    <w:rsid w:val="00427478"/>
    <w:rsid w:val="004276E3"/>
    <w:rsid w:val="0042795C"/>
    <w:rsid w:val="00427E67"/>
    <w:rsid w:val="00430178"/>
    <w:rsid w:val="00430250"/>
    <w:rsid w:val="004309F8"/>
    <w:rsid w:val="00431843"/>
    <w:rsid w:val="0043270B"/>
    <w:rsid w:val="00432E20"/>
    <w:rsid w:val="00432F8F"/>
    <w:rsid w:val="0043424B"/>
    <w:rsid w:val="0043480E"/>
    <w:rsid w:val="00434ADB"/>
    <w:rsid w:val="004355EB"/>
    <w:rsid w:val="00435602"/>
    <w:rsid w:val="00435635"/>
    <w:rsid w:val="004356FA"/>
    <w:rsid w:val="00435CCF"/>
    <w:rsid w:val="004365C5"/>
    <w:rsid w:val="00437179"/>
    <w:rsid w:val="004371AB"/>
    <w:rsid w:val="0044035D"/>
    <w:rsid w:val="0044166C"/>
    <w:rsid w:val="00441FE8"/>
    <w:rsid w:val="00442856"/>
    <w:rsid w:val="00442AF0"/>
    <w:rsid w:val="004430FD"/>
    <w:rsid w:val="00443A9E"/>
    <w:rsid w:val="00443D9E"/>
    <w:rsid w:val="00443DFB"/>
    <w:rsid w:val="004442A7"/>
    <w:rsid w:val="00444D83"/>
    <w:rsid w:val="00444E09"/>
    <w:rsid w:val="00444F64"/>
    <w:rsid w:val="004450CE"/>
    <w:rsid w:val="00445513"/>
    <w:rsid w:val="00445CFF"/>
    <w:rsid w:val="004462AF"/>
    <w:rsid w:val="00446D2B"/>
    <w:rsid w:val="00450D3B"/>
    <w:rsid w:val="00450D54"/>
    <w:rsid w:val="00450E4C"/>
    <w:rsid w:val="004518D5"/>
    <w:rsid w:val="00451B17"/>
    <w:rsid w:val="00451BEB"/>
    <w:rsid w:val="00451E3C"/>
    <w:rsid w:val="00452016"/>
    <w:rsid w:val="00452891"/>
    <w:rsid w:val="00453DEF"/>
    <w:rsid w:val="004543E4"/>
    <w:rsid w:val="00454729"/>
    <w:rsid w:val="004548E5"/>
    <w:rsid w:val="00456114"/>
    <w:rsid w:val="004562F8"/>
    <w:rsid w:val="00456971"/>
    <w:rsid w:val="0045742D"/>
    <w:rsid w:val="004574AB"/>
    <w:rsid w:val="0046027A"/>
    <w:rsid w:val="004608A9"/>
    <w:rsid w:val="00460958"/>
    <w:rsid w:val="0046110A"/>
    <w:rsid w:val="004612C8"/>
    <w:rsid w:val="004616E5"/>
    <w:rsid w:val="0046194F"/>
    <w:rsid w:val="00461B3E"/>
    <w:rsid w:val="00461E80"/>
    <w:rsid w:val="00462420"/>
    <w:rsid w:val="00463146"/>
    <w:rsid w:val="004641FE"/>
    <w:rsid w:val="0046434B"/>
    <w:rsid w:val="00465573"/>
    <w:rsid w:val="00465FF9"/>
    <w:rsid w:val="0046649C"/>
    <w:rsid w:val="004670B3"/>
    <w:rsid w:val="00467A56"/>
    <w:rsid w:val="00467B21"/>
    <w:rsid w:val="00470750"/>
    <w:rsid w:val="004707FD"/>
    <w:rsid w:val="00471856"/>
    <w:rsid w:val="00472A81"/>
    <w:rsid w:val="00472D98"/>
    <w:rsid w:val="0047343E"/>
    <w:rsid w:val="00473779"/>
    <w:rsid w:val="00473839"/>
    <w:rsid w:val="00473AD0"/>
    <w:rsid w:val="0047400A"/>
    <w:rsid w:val="0047434F"/>
    <w:rsid w:val="004743E2"/>
    <w:rsid w:val="00475260"/>
    <w:rsid w:val="00475596"/>
    <w:rsid w:val="004759AD"/>
    <w:rsid w:val="00476D8B"/>
    <w:rsid w:val="0047703F"/>
    <w:rsid w:val="0047765A"/>
    <w:rsid w:val="0047786D"/>
    <w:rsid w:val="00477FF7"/>
    <w:rsid w:val="00480F17"/>
    <w:rsid w:val="004813F5"/>
    <w:rsid w:val="00481607"/>
    <w:rsid w:val="00483D11"/>
    <w:rsid w:val="00483D84"/>
    <w:rsid w:val="0048406D"/>
    <w:rsid w:val="00484498"/>
    <w:rsid w:val="00484C46"/>
    <w:rsid w:val="00485E8A"/>
    <w:rsid w:val="00485E94"/>
    <w:rsid w:val="004860F5"/>
    <w:rsid w:val="00486EEB"/>
    <w:rsid w:val="0048729C"/>
    <w:rsid w:val="00487778"/>
    <w:rsid w:val="004877AA"/>
    <w:rsid w:val="00487852"/>
    <w:rsid w:val="00487C42"/>
    <w:rsid w:val="00490165"/>
    <w:rsid w:val="0049055A"/>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15A9"/>
    <w:rsid w:val="004A201F"/>
    <w:rsid w:val="004A3394"/>
    <w:rsid w:val="004A366E"/>
    <w:rsid w:val="004A3CFF"/>
    <w:rsid w:val="004A4D38"/>
    <w:rsid w:val="004A4E7E"/>
    <w:rsid w:val="004A5312"/>
    <w:rsid w:val="004A57FC"/>
    <w:rsid w:val="004A5A64"/>
    <w:rsid w:val="004A5E0C"/>
    <w:rsid w:val="004A6F8B"/>
    <w:rsid w:val="004A705C"/>
    <w:rsid w:val="004A710E"/>
    <w:rsid w:val="004A71A7"/>
    <w:rsid w:val="004A7FB0"/>
    <w:rsid w:val="004B0372"/>
    <w:rsid w:val="004B038D"/>
    <w:rsid w:val="004B0FC0"/>
    <w:rsid w:val="004B1313"/>
    <w:rsid w:val="004B1C42"/>
    <w:rsid w:val="004B2B31"/>
    <w:rsid w:val="004B3C3F"/>
    <w:rsid w:val="004B3CE9"/>
    <w:rsid w:val="004B4D0A"/>
    <w:rsid w:val="004B566D"/>
    <w:rsid w:val="004B5C0C"/>
    <w:rsid w:val="004B6301"/>
    <w:rsid w:val="004B71E9"/>
    <w:rsid w:val="004C0346"/>
    <w:rsid w:val="004C0B5B"/>
    <w:rsid w:val="004C0F99"/>
    <w:rsid w:val="004C130D"/>
    <w:rsid w:val="004C1E76"/>
    <w:rsid w:val="004C20B1"/>
    <w:rsid w:val="004C2F01"/>
    <w:rsid w:val="004C35D8"/>
    <w:rsid w:val="004C3974"/>
    <w:rsid w:val="004C44D3"/>
    <w:rsid w:val="004C4C9E"/>
    <w:rsid w:val="004C507D"/>
    <w:rsid w:val="004C521E"/>
    <w:rsid w:val="004C654C"/>
    <w:rsid w:val="004C68DA"/>
    <w:rsid w:val="004C6A7B"/>
    <w:rsid w:val="004C6ED4"/>
    <w:rsid w:val="004C70A2"/>
    <w:rsid w:val="004C7384"/>
    <w:rsid w:val="004C7BDF"/>
    <w:rsid w:val="004D1A33"/>
    <w:rsid w:val="004D1D64"/>
    <w:rsid w:val="004D25FC"/>
    <w:rsid w:val="004D2848"/>
    <w:rsid w:val="004D2C45"/>
    <w:rsid w:val="004D2CDA"/>
    <w:rsid w:val="004D2DAF"/>
    <w:rsid w:val="004D3EB5"/>
    <w:rsid w:val="004D3F7D"/>
    <w:rsid w:val="004D4968"/>
    <w:rsid w:val="004D5F40"/>
    <w:rsid w:val="004D6240"/>
    <w:rsid w:val="004D6794"/>
    <w:rsid w:val="004E0289"/>
    <w:rsid w:val="004E03BE"/>
    <w:rsid w:val="004E0821"/>
    <w:rsid w:val="004E0BDC"/>
    <w:rsid w:val="004E0CD0"/>
    <w:rsid w:val="004E0E39"/>
    <w:rsid w:val="004E12EB"/>
    <w:rsid w:val="004E1498"/>
    <w:rsid w:val="004E3FD8"/>
    <w:rsid w:val="004E4503"/>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0F92"/>
    <w:rsid w:val="004F13D2"/>
    <w:rsid w:val="004F13F5"/>
    <w:rsid w:val="004F1A00"/>
    <w:rsid w:val="004F2826"/>
    <w:rsid w:val="004F2FC3"/>
    <w:rsid w:val="004F3155"/>
    <w:rsid w:val="004F359A"/>
    <w:rsid w:val="004F3DD1"/>
    <w:rsid w:val="004F3E85"/>
    <w:rsid w:val="004F4241"/>
    <w:rsid w:val="004F438E"/>
    <w:rsid w:val="004F5C31"/>
    <w:rsid w:val="004F6AFE"/>
    <w:rsid w:val="004F723E"/>
    <w:rsid w:val="004F7F1A"/>
    <w:rsid w:val="0050031C"/>
    <w:rsid w:val="005004F7"/>
    <w:rsid w:val="00500798"/>
    <w:rsid w:val="00500A59"/>
    <w:rsid w:val="00500B71"/>
    <w:rsid w:val="005015F9"/>
    <w:rsid w:val="0050169C"/>
    <w:rsid w:val="00502C24"/>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691"/>
    <w:rsid w:val="00507CAF"/>
    <w:rsid w:val="00510444"/>
    <w:rsid w:val="00510644"/>
    <w:rsid w:val="00510BF8"/>
    <w:rsid w:val="005117A7"/>
    <w:rsid w:val="00511D58"/>
    <w:rsid w:val="00512747"/>
    <w:rsid w:val="005137D0"/>
    <w:rsid w:val="00513F8F"/>
    <w:rsid w:val="005147E7"/>
    <w:rsid w:val="005149A2"/>
    <w:rsid w:val="005150E4"/>
    <w:rsid w:val="00515585"/>
    <w:rsid w:val="005157A7"/>
    <w:rsid w:val="005157BE"/>
    <w:rsid w:val="00515E2B"/>
    <w:rsid w:val="00517B89"/>
    <w:rsid w:val="00517C3B"/>
    <w:rsid w:val="0052001B"/>
    <w:rsid w:val="00521D65"/>
    <w:rsid w:val="00522592"/>
    <w:rsid w:val="00522E36"/>
    <w:rsid w:val="00523B71"/>
    <w:rsid w:val="00523F32"/>
    <w:rsid w:val="005251DA"/>
    <w:rsid w:val="00525515"/>
    <w:rsid w:val="005255CE"/>
    <w:rsid w:val="00525CAE"/>
    <w:rsid w:val="00526C8A"/>
    <w:rsid w:val="00527489"/>
    <w:rsid w:val="00527DB2"/>
    <w:rsid w:val="00530BD5"/>
    <w:rsid w:val="00531307"/>
    <w:rsid w:val="0053173A"/>
    <w:rsid w:val="00531824"/>
    <w:rsid w:val="00532462"/>
    <w:rsid w:val="00532976"/>
    <w:rsid w:val="005331F7"/>
    <w:rsid w:val="00533215"/>
    <w:rsid w:val="005339D2"/>
    <w:rsid w:val="0053437E"/>
    <w:rsid w:val="005349EB"/>
    <w:rsid w:val="00534D96"/>
    <w:rsid w:val="0053542C"/>
    <w:rsid w:val="00535669"/>
    <w:rsid w:val="005408FD"/>
    <w:rsid w:val="005417A0"/>
    <w:rsid w:val="005422E8"/>
    <w:rsid w:val="005426C4"/>
    <w:rsid w:val="00543342"/>
    <w:rsid w:val="00543A66"/>
    <w:rsid w:val="0054556C"/>
    <w:rsid w:val="0054556F"/>
    <w:rsid w:val="00546738"/>
    <w:rsid w:val="005467D6"/>
    <w:rsid w:val="00546942"/>
    <w:rsid w:val="00546ACE"/>
    <w:rsid w:val="00546D42"/>
    <w:rsid w:val="00547E9B"/>
    <w:rsid w:val="00550151"/>
    <w:rsid w:val="00551204"/>
    <w:rsid w:val="00552163"/>
    <w:rsid w:val="00552569"/>
    <w:rsid w:val="0055269F"/>
    <w:rsid w:val="005527EA"/>
    <w:rsid w:val="00552AC3"/>
    <w:rsid w:val="005533EA"/>
    <w:rsid w:val="0055348E"/>
    <w:rsid w:val="00553C13"/>
    <w:rsid w:val="00554999"/>
    <w:rsid w:val="005555A1"/>
    <w:rsid w:val="00556461"/>
    <w:rsid w:val="00557004"/>
    <w:rsid w:val="005570E7"/>
    <w:rsid w:val="00560546"/>
    <w:rsid w:val="005612F8"/>
    <w:rsid w:val="0056200F"/>
    <w:rsid w:val="00562276"/>
    <w:rsid w:val="005622DF"/>
    <w:rsid w:val="005639EE"/>
    <w:rsid w:val="0056434D"/>
    <w:rsid w:val="005643BD"/>
    <w:rsid w:val="005649A2"/>
    <w:rsid w:val="00564D6E"/>
    <w:rsid w:val="00565FCE"/>
    <w:rsid w:val="0056710F"/>
    <w:rsid w:val="0056719E"/>
    <w:rsid w:val="00567D6E"/>
    <w:rsid w:val="00570C83"/>
    <w:rsid w:val="00572583"/>
    <w:rsid w:val="00572A3E"/>
    <w:rsid w:val="00572B21"/>
    <w:rsid w:val="00573146"/>
    <w:rsid w:val="005735E8"/>
    <w:rsid w:val="0057380A"/>
    <w:rsid w:val="00573B1B"/>
    <w:rsid w:val="00573E29"/>
    <w:rsid w:val="00573F24"/>
    <w:rsid w:val="005758CE"/>
    <w:rsid w:val="00575E94"/>
    <w:rsid w:val="005770BC"/>
    <w:rsid w:val="00577BE7"/>
    <w:rsid w:val="00580572"/>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95B"/>
    <w:rsid w:val="00590C9A"/>
    <w:rsid w:val="00591331"/>
    <w:rsid w:val="00591781"/>
    <w:rsid w:val="00591921"/>
    <w:rsid w:val="00591B9C"/>
    <w:rsid w:val="00592A4A"/>
    <w:rsid w:val="005939E5"/>
    <w:rsid w:val="00595652"/>
    <w:rsid w:val="00595B80"/>
    <w:rsid w:val="00596788"/>
    <w:rsid w:val="005968C4"/>
    <w:rsid w:val="00596A82"/>
    <w:rsid w:val="00597605"/>
    <w:rsid w:val="005A05C6"/>
    <w:rsid w:val="005A0753"/>
    <w:rsid w:val="005A0789"/>
    <w:rsid w:val="005A167B"/>
    <w:rsid w:val="005A2229"/>
    <w:rsid w:val="005A2832"/>
    <w:rsid w:val="005A320D"/>
    <w:rsid w:val="005A3468"/>
    <w:rsid w:val="005A35EA"/>
    <w:rsid w:val="005A36E3"/>
    <w:rsid w:val="005A4A64"/>
    <w:rsid w:val="005A50FE"/>
    <w:rsid w:val="005A59CF"/>
    <w:rsid w:val="005A6CB4"/>
    <w:rsid w:val="005A7ECD"/>
    <w:rsid w:val="005A7F72"/>
    <w:rsid w:val="005B097C"/>
    <w:rsid w:val="005B1CC4"/>
    <w:rsid w:val="005B1D3E"/>
    <w:rsid w:val="005B2EB8"/>
    <w:rsid w:val="005B33A1"/>
    <w:rsid w:val="005B4833"/>
    <w:rsid w:val="005B5251"/>
    <w:rsid w:val="005B54FE"/>
    <w:rsid w:val="005B5A55"/>
    <w:rsid w:val="005B5F56"/>
    <w:rsid w:val="005B67F6"/>
    <w:rsid w:val="005B7D8A"/>
    <w:rsid w:val="005C0904"/>
    <w:rsid w:val="005C09BF"/>
    <w:rsid w:val="005C0D61"/>
    <w:rsid w:val="005C17D4"/>
    <w:rsid w:val="005C18B0"/>
    <w:rsid w:val="005C1B10"/>
    <w:rsid w:val="005C2EA8"/>
    <w:rsid w:val="005C3A28"/>
    <w:rsid w:val="005C4037"/>
    <w:rsid w:val="005C5849"/>
    <w:rsid w:val="005C5AA6"/>
    <w:rsid w:val="005C5E0A"/>
    <w:rsid w:val="005C5E4D"/>
    <w:rsid w:val="005C7CAD"/>
    <w:rsid w:val="005D02FA"/>
    <w:rsid w:val="005D0790"/>
    <w:rsid w:val="005D2043"/>
    <w:rsid w:val="005D20FC"/>
    <w:rsid w:val="005D2464"/>
    <w:rsid w:val="005D2EE8"/>
    <w:rsid w:val="005D32EE"/>
    <w:rsid w:val="005D38CA"/>
    <w:rsid w:val="005D4722"/>
    <w:rsid w:val="005D4884"/>
    <w:rsid w:val="005D49D1"/>
    <w:rsid w:val="005D5E46"/>
    <w:rsid w:val="005D64A5"/>
    <w:rsid w:val="005D680B"/>
    <w:rsid w:val="005D6B30"/>
    <w:rsid w:val="005D7AA9"/>
    <w:rsid w:val="005E0010"/>
    <w:rsid w:val="005E0EAD"/>
    <w:rsid w:val="005E0EB3"/>
    <w:rsid w:val="005E1F47"/>
    <w:rsid w:val="005E260D"/>
    <w:rsid w:val="005E35FD"/>
    <w:rsid w:val="005E383F"/>
    <w:rsid w:val="005E50A0"/>
    <w:rsid w:val="005E5220"/>
    <w:rsid w:val="005E7698"/>
    <w:rsid w:val="005E77D7"/>
    <w:rsid w:val="005E7CAF"/>
    <w:rsid w:val="005F0931"/>
    <w:rsid w:val="005F0C46"/>
    <w:rsid w:val="005F1FE4"/>
    <w:rsid w:val="005F2AF8"/>
    <w:rsid w:val="005F371A"/>
    <w:rsid w:val="005F3F7F"/>
    <w:rsid w:val="005F4950"/>
    <w:rsid w:val="005F4AC6"/>
    <w:rsid w:val="005F55AA"/>
    <w:rsid w:val="005F55CC"/>
    <w:rsid w:val="005F55E3"/>
    <w:rsid w:val="005F5B30"/>
    <w:rsid w:val="005F5B3F"/>
    <w:rsid w:val="005F5B83"/>
    <w:rsid w:val="005F60C4"/>
    <w:rsid w:val="005F6365"/>
    <w:rsid w:val="005F660A"/>
    <w:rsid w:val="005F6697"/>
    <w:rsid w:val="0060031B"/>
    <w:rsid w:val="006012E3"/>
    <w:rsid w:val="00601FCD"/>
    <w:rsid w:val="00602949"/>
    <w:rsid w:val="00602CFB"/>
    <w:rsid w:val="00602F2F"/>
    <w:rsid w:val="00602FB5"/>
    <w:rsid w:val="0060342E"/>
    <w:rsid w:val="0060384D"/>
    <w:rsid w:val="006039C5"/>
    <w:rsid w:val="0060515F"/>
    <w:rsid w:val="00606C6F"/>
    <w:rsid w:val="00606FA6"/>
    <w:rsid w:val="00607079"/>
    <w:rsid w:val="0060750A"/>
    <w:rsid w:val="00607ADE"/>
    <w:rsid w:val="00611C83"/>
    <w:rsid w:val="00612015"/>
    <w:rsid w:val="006122CF"/>
    <w:rsid w:val="0061286E"/>
    <w:rsid w:val="00612C73"/>
    <w:rsid w:val="006135B2"/>
    <w:rsid w:val="006144BB"/>
    <w:rsid w:val="00614CB4"/>
    <w:rsid w:val="00614EE6"/>
    <w:rsid w:val="006151F5"/>
    <w:rsid w:val="00615BDB"/>
    <w:rsid w:val="00616A04"/>
    <w:rsid w:val="0061717F"/>
    <w:rsid w:val="00617D03"/>
    <w:rsid w:val="00617E9E"/>
    <w:rsid w:val="00620686"/>
    <w:rsid w:val="006209E8"/>
    <w:rsid w:val="00621B11"/>
    <w:rsid w:val="00621C0B"/>
    <w:rsid w:val="00621CAD"/>
    <w:rsid w:val="00622A7E"/>
    <w:rsid w:val="0062317C"/>
    <w:rsid w:val="006233CB"/>
    <w:rsid w:val="00623C74"/>
    <w:rsid w:val="0062482E"/>
    <w:rsid w:val="00625213"/>
    <w:rsid w:val="00625B24"/>
    <w:rsid w:val="006265D0"/>
    <w:rsid w:val="00626C25"/>
    <w:rsid w:val="006279A7"/>
    <w:rsid w:val="00627BA3"/>
    <w:rsid w:val="00627E44"/>
    <w:rsid w:val="00630549"/>
    <w:rsid w:val="00630829"/>
    <w:rsid w:val="00631826"/>
    <w:rsid w:val="006326BC"/>
    <w:rsid w:val="006327DF"/>
    <w:rsid w:val="00632A0E"/>
    <w:rsid w:val="00633951"/>
    <w:rsid w:val="00633B5E"/>
    <w:rsid w:val="00633C0A"/>
    <w:rsid w:val="00633CB0"/>
    <w:rsid w:val="0063405E"/>
    <w:rsid w:val="00635175"/>
    <w:rsid w:val="006352B0"/>
    <w:rsid w:val="00635CC3"/>
    <w:rsid w:val="00636041"/>
    <w:rsid w:val="00636094"/>
    <w:rsid w:val="006373C7"/>
    <w:rsid w:val="00637E00"/>
    <w:rsid w:val="00640222"/>
    <w:rsid w:val="00640E17"/>
    <w:rsid w:val="00641061"/>
    <w:rsid w:val="006412CA"/>
    <w:rsid w:val="0064145D"/>
    <w:rsid w:val="00641E4B"/>
    <w:rsid w:val="006427D6"/>
    <w:rsid w:val="006428E2"/>
    <w:rsid w:val="00642D10"/>
    <w:rsid w:val="006430B5"/>
    <w:rsid w:val="00644200"/>
    <w:rsid w:val="00647D2D"/>
    <w:rsid w:val="00650854"/>
    <w:rsid w:val="00650A04"/>
    <w:rsid w:val="00650CAB"/>
    <w:rsid w:val="006510F4"/>
    <w:rsid w:val="006514E4"/>
    <w:rsid w:val="00651AD3"/>
    <w:rsid w:val="00651FA0"/>
    <w:rsid w:val="006526F3"/>
    <w:rsid w:val="0065293D"/>
    <w:rsid w:val="006536FE"/>
    <w:rsid w:val="006544F6"/>
    <w:rsid w:val="00655070"/>
    <w:rsid w:val="0065594D"/>
    <w:rsid w:val="006569EB"/>
    <w:rsid w:val="00657005"/>
    <w:rsid w:val="0065788E"/>
    <w:rsid w:val="006578D9"/>
    <w:rsid w:val="00657F3B"/>
    <w:rsid w:val="00657FE4"/>
    <w:rsid w:val="006605DC"/>
    <w:rsid w:val="006605F8"/>
    <w:rsid w:val="006606B1"/>
    <w:rsid w:val="0066121D"/>
    <w:rsid w:val="00661636"/>
    <w:rsid w:val="006619A0"/>
    <w:rsid w:val="00661B8D"/>
    <w:rsid w:val="00661EF2"/>
    <w:rsid w:val="00662166"/>
    <w:rsid w:val="0066272F"/>
    <w:rsid w:val="00662962"/>
    <w:rsid w:val="00662B13"/>
    <w:rsid w:val="00663054"/>
    <w:rsid w:val="006635A1"/>
    <w:rsid w:val="0066397B"/>
    <w:rsid w:val="00663D73"/>
    <w:rsid w:val="00665229"/>
    <w:rsid w:val="006654E8"/>
    <w:rsid w:val="00665598"/>
    <w:rsid w:val="0066566C"/>
    <w:rsid w:val="0066568F"/>
    <w:rsid w:val="00665A73"/>
    <w:rsid w:val="00665C15"/>
    <w:rsid w:val="00665CCE"/>
    <w:rsid w:val="00665F1A"/>
    <w:rsid w:val="00666471"/>
    <w:rsid w:val="00666653"/>
    <w:rsid w:val="0066797B"/>
    <w:rsid w:val="00667A27"/>
    <w:rsid w:val="0067016B"/>
    <w:rsid w:val="00670328"/>
    <w:rsid w:val="006704BF"/>
    <w:rsid w:val="00670AD8"/>
    <w:rsid w:val="00670ECD"/>
    <w:rsid w:val="006730FA"/>
    <w:rsid w:val="00673D7C"/>
    <w:rsid w:val="00673FBF"/>
    <w:rsid w:val="00674460"/>
    <w:rsid w:val="006744FB"/>
    <w:rsid w:val="00676A4B"/>
    <w:rsid w:val="00676C9B"/>
    <w:rsid w:val="006779C3"/>
    <w:rsid w:val="00677E8D"/>
    <w:rsid w:val="00680A97"/>
    <w:rsid w:val="00680C3F"/>
    <w:rsid w:val="0068102D"/>
    <w:rsid w:val="0068226B"/>
    <w:rsid w:val="00682ED3"/>
    <w:rsid w:val="0068370B"/>
    <w:rsid w:val="00684BDE"/>
    <w:rsid w:val="00684FBD"/>
    <w:rsid w:val="00685535"/>
    <w:rsid w:val="00685D3B"/>
    <w:rsid w:val="00687817"/>
    <w:rsid w:val="0069008A"/>
    <w:rsid w:val="00690881"/>
    <w:rsid w:val="00692799"/>
    <w:rsid w:val="00692A0D"/>
    <w:rsid w:val="00693077"/>
    <w:rsid w:val="00693295"/>
    <w:rsid w:val="006936BD"/>
    <w:rsid w:val="0069447C"/>
    <w:rsid w:val="006979CD"/>
    <w:rsid w:val="00697FE2"/>
    <w:rsid w:val="006A0B49"/>
    <w:rsid w:val="006A1313"/>
    <w:rsid w:val="006A2347"/>
    <w:rsid w:val="006A24B3"/>
    <w:rsid w:val="006A2A3D"/>
    <w:rsid w:val="006A344C"/>
    <w:rsid w:val="006A40F0"/>
    <w:rsid w:val="006A46C7"/>
    <w:rsid w:val="006A49B5"/>
    <w:rsid w:val="006A5A82"/>
    <w:rsid w:val="006A5BC7"/>
    <w:rsid w:val="006A5C44"/>
    <w:rsid w:val="006A5DE5"/>
    <w:rsid w:val="006A636A"/>
    <w:rsid w:val="006A6B69"/>
    <w:rsid w:val="006A6F85"/>
    <w:rsid w:val="006B008E"/>
    <w:rsid w:val="006B11E7"/>
    <w:rsid w:val="006B1938"/>
    <w:rsid w:val="006B19B2"/>
    <w:rsid w:val="006B1DA2"/>
    <w:rsid w:val="006B1F5F"/>
    <w:rsid w:val="006B2064"/>
    <w:rsid w:val="006B3AD6"/>
    <w:rsid w:val="006B422E"/>
    <w:rsid w:val="006B4F5B"/>
    <w:rsid w:val="006B5922"/>
    <w:rsid w:val="006B67DE"/>
    <w:rsid w:val="006B6C94"/>
    <w:rsid w:val="006B6E3E"/>
    <w:rsid w:val="006C0900"/>
    <w:rsid w:val="006C09DD"/>
    <w:rsid w:val="006C17FF"/>
    <w:rsid w:val="006C369C"/>
    <w:rsid w:val="006C373A"/>
    <w:rsid w:val="006C375B"/>
    <w:rsid w:val="006C3F49"/>
    <w:rsid w:val="006C40FA"/>
    <w:rsid w:val="006C432F"/>
    <w:rsid w:val="006C44D3"/>
    <w:rsid w:val="006C4B11"/>
    <w:rsid w:val="006C50C3"/>
    <w:rsid w:val="006C57EC"/>
    <w:rsid w:val="006C5867"/>
    <w:rsid w:val="006C5C20"/>
    <w:rsid w:val="006C5D1C"/>
    <w:rsid w:val="006C5FF1"/>
    <w:rsid w:val="006C6287"/>
    <w:rsid w:val="006C63C3"/>
    <w:rsid w:val="006C6E92"/>
    <w:rsid w:val="006C7002"/>
    <w:rsid w:val="006C724C"/>
    <w:rsid w:val="006C75C9"/>
    <w:rsid w:val="006C78FA"/>
    <w:rsid w:val="006C7D80"/>
    <w:rsid w:val="006D0448"/>
    <w:rsid w:val="006D0B4F"/>
    <w:rsid w:val="006D1F1A"/>
    <w:rsid w:val="006D21FF"/>
    <w:rsid w:val="006D493C"/>
    <w:rsid w:val="006D5FEE"/>
    <w:rsid w:val="006D5FEF"/>
    <w:rsid w:val="006D64D6"/>
    <w:rsid w:val="006D6A4C"/>
    <w:rsid w:val="006D6FC8"/>
    <w:rsid w:val="006E0240"/>
    <w:rsid w:val="006E0B10"/>
    <w:rsid w:val="006E0B16"/>
    <w:rsid w:val="006E22CC"/>
    <w:rsid w:val="006E3B45"/>
    <w:rsid w:val="006E512D"/>
    <w:rsid w:val="006E53A6"/>
    <w:rsid w:val="006E5C3A"/>
    <w:rsid w:val="006E6FC9"/>
    <w:rsid w:val="006E7093"/>
    <w:rsid w:val="006E7496"/>
    <w:rsid w:val="006E7969"/>
    <w:rsid w:val="006F0B08"/>
    <w:rsid w:val="006F0C12"/>
    <w:rsid w:val="006F0EB1"/>
    <w:rsid w:val="006F1636"/>
    <w:rsid w:val="006F16B4"/>
    <w:rsid w:val="006F2CCB"/>
    <w:rsid w:val="006F2E9D"/>
    <w:rsid w:val="006F314D"/>
    <w:rsid w:val="006F510F"/>
    <w:rsid w:val="006F57A2"/>
    <w:rsid w:val="006F59D4"/>
    <w:rsid w:val="006F5CDF"/>
    <w:rsid w:val="006F6BE1"/>
    <w:rsid w:val="006F738F"/>
    <w:rsid w:val="006F7E42"/>
    <w:rsid w:val="0070023A"/>
    <w:rsid w:val="00700EC2"/>
    <w:rsid w:val="00700F47"/>
    <w:rsid w:val="007014E9"/>
    <w:rsid w:val="0070193E"/>
    <w:rsid w:val="00701F6B"/>
    <w:rsid w:val="00701F87"/>
    <w:rsid w:val="007036E5"/>
    <w:rsid w:val="00704124"/>
    <w:rsid w:val="007047A6"/>
    <w:rsid w:val="00704C05"/>
    <w:rsid w:val="007062DD"/>
    <w:rsid w:val="00706D73"/>
    <w:rsid w:val="00706DA9"/>
    <w:rsid w:val="00706E42"/>
    <w:rsid w:val="00707BF4"/>
    <w:rsid w:val="00710815"/>
    <w:rsid w:val="00710994"/>
    <w:rsid w:val="00710D33"/>
    <w:rsid w:val="00710FF5"/>
    <w:rsid w:val="0071129C"/>
    <w:rsid w:val="00711AE4"/>
    <w:rsid w:val="00712551"/>
    <w:rsid w:val="00712D0F"/>
    <w:rsid w:val="0071374D"/>
    <w:rsid w:val="007137DB"/>
    <w:rsid w:val="007146D9"/>
    <w:rsid w:val="00714D12"/>
    <w:rsid w:val="00714D3C"/>
    <w:rsid w:val="0071649C"/>
    <w:rsid w:val="007167B9"/>
    <w:rsid w:val="00717267"/>
    <w:rsid w:val="007178EE"/>
    <w:rsid w:val="00717C8F"/>
    <w:rsid w:val="00717CA5"/>
    <w:rsid w:val="00720484"/>
    <w:rsid w:val="007214AF"/>
    <w:rsid w:val="00721E1D"/>
    <w:rsid w:val="00722752"/>
    <w:rsid w:val="00722CD9"/>
    <w:rsid w:val="00723B7C"/>
    <w:rsid w:val="00724357"/>
    <w:rsid w:val="00724426"/>
    <w:rsid w:val="00724685"/>
    <w:rsid w:val="00724A3E"/>
    <w:rsid w:val="00725CB6"/>
    <w:rsid w:val="00726281"/>
    <w:rsid w:val="00726C1B"/>
    <w:rsid w:val="00730B78"/>
    <w:rsid w:val="0073128B"/>
    <w:rsid w:val="007312CB"/>
    <w:rsid w:val="0073171A"/>
    <w:rsid w:val="0073278B"/>
    <w:rsid w:val="00733FA0"/>
    <w:rsid w:val="0073446C"/>
    <w:rsid w:val="007347C0"/>
    <w:rsid w:val="007354B7"/>
    <w:rsid w:val="00735D01"/>
    <w:rsid w:val="00735DF3"/>
    <w:rsid w:val="0073642C"/>
    <w:rsid w:val="00736B96"/>
    <w:rsid w:val="00736BD5"/>
    <w:rsid w:val="00736BED"/>
    <w:rsid w:val="00736E2F"/>
    <w:rsid w:val="0073725A"/>
    <w:rsid w:val="007377ED"/>
    <w:rsid w:val="00740497"/>
    <w:rsid w:val="00740A0A"/>
    <w:rsid w:val="00740CED"/>
    <w:rsid w:val="0074108B"/>
    <w:rsid w:val="00741B54"/>
    <w:rsid w:val="007420C9"/>
    <w:rsid w:val="00744055"/>
    <w:rsid w:val="007446A7"/>
    <w:rsid w:val="00744F4E"/>
    <w:rsid w:val="0074576E"/>
    <w:rsid w:val="0074602F"/>
    <w:rsid w:val="00746FA0"/>
    <w:rsid w:val="00747446"/>
    <w:rsid w:val="00747915"/>
    <w:rsid w:val="00747F05"/>
    <w:rsid w:val="00750292"/>
    <w:rsid w:val="0075066D"/>
    <w:rsid w:val="00750A08"/>
    <w:rsid w:val="00751651"/>
    <w:rsid w:val="0075179E"/>
    <w:rsid w:val="00751C37"/>
    <w:rsid w:val="007529E9"/>
    <w:rsid w:val="00752FE7"/>
    <w:rsid w:val="00753440"/>
    <w:rsid w:val="0075350F"/>
    <w:rsid w:val="00753819"/>
    <w:rsid w:val="00753DAC"/>
    <w:rsid w:val="00753DDF"/>
    <w:rsid w:val="00754E83"/>
    <w:rsid w:val="00754FB6"/>
    <w:rsid w:val="00755151"/>
    <w:rsid w:val="00755B06"/>
    <w:rsid w:val="0075603B"/>
    <w:rsid w:val="00756C09"/>
    <w:rsid w:val="007570E6"/>
    <w:rsid w:val="00757A61"/>
    <w:rsid w:val="007600A8"/>
    <w:rsid w:val="00760D79"/>
    <w:rsid w:val="007619FB"/>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F11"/>
    <w:rsid w:val="007768F2"/>
    <w:rsid w:val="00776E9E"/>
    <w:rsid w:val="00777126"/>
    <w:rsid w:val="007773CD"/>
    <w:rsid w:val="00777C3F"/>
    <w:rsid w:val="00777EE9"/>
    <w:rsid w:val="00780732"/>
    <w:rsid w:val="0078146E"/>
    <w:rsid w:val="0078165E"/>
    <w:rsid w:val="00781B9A"/>
    <w:rsid w:val="0078243D"/>
    <w:rsid w:val="00783659"/>
    <w:rsid w:val="0078380D"/>
    <w:rsid w:val="00783BCC"/>
    <w:rsid w:val="00784702"/>
    <w:rsid w:val="007847B9"/>
    <w:rsid w:val="007860C0"/>
    <w:rsid w:val="00786272"/>
    <w:rsid w:val="007864B2"/>
    <w:rsid w:val="00786620"/>
    <w:rsid w:val="00786D0A"/>
    <w:rsid w:val="00787736"/>
    <w:rsid w:val="00787A55"/>
    <w:rsid w:val="00787FF1"/>
    <w:rsid w:val="00790693"/>
    <w:rsid w:val="00790843"/>
    <w:rsid w:val="007916D2"/>
    <w:rsid w:val="00792A72"/>
    <w:rsid w:val="00792ECC"/>
    <w:rsid w:val="0079380A"/>
    <w:rsid w:val="007939C7"/>
    <w:rsid w:val="00793F07"/>
    <w:rsid w:val="007940AC"/>
    <w:rsid w:val="007945B3"/>
    <w:rsid w:val="0079484F"/>
    <w:rsid w:val="00794DA6"/>
    <w:rsid w:val="007955A1"/>
    <w:rsid w:val="007958CB"/>
    <w:rsid w:val="0079592D"/>
    <w:rsid w:val="0079740B"/>
    <w:rsid w:val="0079740D"/>
    <w:rsid w:val="00797FCF"/>
    <w:rsid w:val="007A00DB"/>
    <w:rsid w:val="007A06C7"/>
    <w:rsid w:val="007A0D8D"/>
    <w:rsid w:val="007A1B63"/>
    <w:rsid w:val="007A1BE6"/>
    <w:rsid w:val="007A2BFF"/>
    <w:rsid w:val="007A33C1"/>
    <w:rsid w:val="007A33FF"/>
    <w:rsid w:val="007A4C0C"/>
    <w:rsid w:val="007A5493"/>
    <w:rsid w:val="007A5A5A"/>
    <w:rsid w:val="007A5BC2"/>
    <w:rsid w:val="007A618D"/>
    <w:rsid w:val="007A765B"/>
    <w:rsid w:val="007B0253"/>
    <w:rsid w:val="007B0E3D"/>
    <w:rsid w:val="007B1061"/>
    <w:rsid w:val="007B1306"/>
    <w:rsid w:val="007B1B64"/>
    <w:rsid w:val="007B2638"/>
    <w:rsid w:val="007B2D8B"/>
    <w:rsid w:val="007B448A"/>
    <w:rsid w:val="007B4B0D"/>
    <w:rsid w:val="007B4C6D"/>
    <w:rsid w:val="007B4E3F"/>
    <w:rsid w:val="007B522A"/>
    <w:rsid w:val="007B7275"/>
    <w:rsid w:val="007C09E4"/>
    <w:rsid w:val="007C0D95"/>
    <w:rsid w:val="007C0E3C"/>
    <w:rsid w:val="007C0F3A"/>
    <w:rsid w:val="007C1537"/>
    <w:rsid w:val="007C1B05"/>
    <w:rsid w:val="007C2102"/>
    <w:rsid w:val="007C508D"/>
    <w:rsid w:val="007C52ED"/>
    <w:rsid w:val="007C53A1"/>
    <w:rsid w:val="007C5DB6"/>
    <w:rsid w:val="007C64BC"/>
    <w:rsid w:val="007C6714"/>
    <w:rsid w:val="007C675F"/>
    <w:rsid w:val="007C6835"/>
    <w:rsid w:val="007C7EF3"/>
    <w:rsid w:val="007D0118"/>
    <w:rsid w:val="007D014E"/>
    <w:rsid w:val="007D11B6"/>
    <w:rsid w:val="007D1B65"/>
    <w:rsid w:val="007D1B7C"/>
    <w:rsid w:val="007D2C12"/>
    <w:rsid w:val="007D4FF2"/>
    <w:rsid w:val="007D512C"/>
    <w:rsid w:val="007D526F"/>
    <w:rsid w:val="007D5BD7"/>
    <w:rsid w:val="007D62B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3051"/>
    <w:rsid w:val="007E4238"/>
    <w:rsid w:val="007E4E4F"/>
    <w:rsid w:val="007E6477"/>
    <w:rsid w:val="007E686B"/>
    <w:rsid w:val="007E6D46"/>
    <w:rsid w:val="007E6DA8"/>
    <w:rsid w:val="007E7A3E"/>
    <w:rsid w:val="007F05E0"/>
    <w:rsid w:val="007F0AE2"/>
    <w:rsid w:val="007F0DD3"/>
    <w:rsid w:val="007F163D"/>
    <w:rsid w:val="007F1A2B"/>
    <w:rsid w:val="007F1C1B"/>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0DB7"/>
    <w:rsid w:val="00801838"/>
    <w:rsid w:val="00801909"/>
    <w:rsid w:val="00801BBF"/>
    <w:rsid w:val="00801F82"/>
    <w:rsid w:val="00802AC5"/>
    <w:rsid w:val="00803016"/>
    <w:rsid w:val="00803901"/>
    <w:rsid w:val="00804867"/>
    <w:rsid w:val="00804B2F"/>
    <w:rsid w:val="00805DA9"/>
    <w:rsid w:val="008064A1"/>
    <w:rsid w:val="008064F4"/>
    <w:rsid w:val="00806A9F"/>
    <w:rsid w:val="00806B9C"/>
    <w:rsid w:val="00807316"/>
    <w:rsid w:val="0080770D"/>
    <w:rsid w:val="00807D28"/>
    <w:rsid w:val="00807D5E"/>
    <w:rsid w:val="0081012C"/>
    <w:rsid w:val="008102B3"/>
    <w:rsid w:val="00810847"/>
    <w:rsid w:val="00811036"/>
    <w:rsid w:val="00811DF9"/>
    <w:rsid w:val="008122CD"/>
    <w:rsid w:val="008123D5"/>
    <w:rsid w:val="008127B0"/>
    <w:rsid w:val="008142C7"/>
    <w:rsid w:val="0081433F"/>
    <w:rsid w:val="00814B5E"/>
    <w:rsid w:val="00814B7D"/>
    <w:rsid w:val="00814C44"/>
    <w:rsid w:val="00814F19"/>
    <w:rsid w:val="00815706"/>
    <w:rsid w:val="00815A88"/>
    <w:rsid w:val="008162DE"/>
    <w:rsid w:val="00817025"/>
    <w:rsid w:val="00820759"/>
    <w:rsid w:val="0082081A"/>
    <w:rsid w:val="00820B06"/>
    <w:rsid w:val="00820E25"/>
    <w:rsid w:val="00821167"/>
    <w:rsid w:val="00821737"/>
    <w:rsid w:val="00821B0B"/>
    <w:rsid w:val="00821D40"/>
    <w:rsid w:val="008237B2"/>
    <w:rsid w:val="00827A8A"/>
    <w:rsid w:val="00830D11"/>
    <w:rsid w:val="008314F0"/>
    <w:rsid w:val="008319D3"/>
    <w:rsid w:val="00832C18"/>
    <w:rsid w:val="0083388D"/>
    <w:rsid w:val="0083411C"/>
    <w:rsid w:val="008343CB"/>
    <w:rsid w:val="00834512"/>
    <w:rsid w:val="00834F81"/>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4468"/>
    <w:rsid w:val="008444F8"/>
    <w:rsid w:val="0084554A"/>
    <w:rsid w:val="00845F51"/>
    <w:rsid w:val="00846069"/>
    <w:rsid w:val="0084637B"/>
    <w:rsid w:val="00846467"/>
    <w:rsid w:val="0084729C"/>
    <w:rsid w:val="0084760D"/>
    <w:rsid w:val="00847991"/>
    <w:rsid w:val="00847C4E"/>
    <w:rsid w:val="0085172A"/>
    <w:rsid w:val="008517E2"/>
    <w:rsid w:val="008535B0"/>
    <w:rsid w:val="00853A21"/>
    <w:rsid w:val="00853BD0"/>
    <w:rsid w:val="00854983"/>
    <w:rsid w:val="00854DBE"/>
    <w:rsid w:val="00855C75"/>
    <w:rsid w:val="008569DF"/>
    <w:rsid w:val="00856B6B"/>
    <w:rsid w:val="00856E4A"/>
    <w:rsid w:val="008579B1"/>
    <w:rsid w:val="00857DB5"/>
    <w:rsid w:val="00857F97"/>
    <w:rsid w:val="0086007E"/>
    <w:rsid w:val="0086037F"/>
    <w:rsid w:val="0086119E"/>
    <w:rsid w:val="008614CF"/>
    <w:rsid w:val="00861B0E"/>
    <w:rsid w:val="00861B16"/>
    <w:rsid w:val="00861B41"/>
    <w:rsid w:val="00861DA1"/>
    <w:rsid w:val="00862173"/>
    <w:rsid w:val="008621F7"/>
    <w:rsid w:val="008626B0"/>
    <w:rsid w:val="00864A2A"/>
    <w:rsid w:val="00865DE1"/>
    <w:rsid w:val="0086711C"/>
    <w:rsid w:val="00870793"/>
    <w:rsid w:val="00871EED"/>
    <w:rsid w:val="008734E7"/>
    <w:rsid w:val="0087404E"/>
    <w:rsid w:val="008744DD"/>
    <w:rsid w:val="00874C48"/>
    <w:rsid w:val="0087504C"/>
    <w:rsid w:val="008751A1"/>
    <w:rsid w:val="00875394"/>
    <w:rsid w:val="00875905"/>
    <w:rsid w:val="00876B38"/>
    <w:rsid w:val="00876C1A"/>
    <w:rsid w:val="00877149"/>
    <w:rsid w:val="00877FA3"/>
    <w:rsid w:val="008810FA"/>
    <w:rsid w:val="0088124B"/>
    <w:rsid w:val="008813B7"/>
    <w:rsid w:val="00883004"/>
    <w:rsid w:val="00883C93"/>
    <w:rsid w:val="00883ED6"/>
    <w:rsid w:val="008843EC"/>
    <w:rsid w:val="0088441D"/>
    <w:rsid w:val="00885359"/>
    <w:rsid w:val="0088579F"/>
    <w:rsid w:val="00885B2E"/>
    <w:rsid w:val="00885C5A"/>
    <w:rsid w:val="008862C1"/>
    <w:rsid w:val="008867CF"/>
    <w:rsid w:val="00886BA1"/>
    <w:rsid w:val="00887771"/>
    <w:rsid w:val="008907B2"/>
    <w:rsid w:val="00890C19"/>
    <w:rsid w:val="00890E3A"/>
    <w:rsid w:val="00891046"/>
    <w:rsid w:val="008914A6"/>
    <w:rsid w:val="00891DD0"/>
    <w:rsid w:val="008922DF"/>
    <w:rsid w:val="0089290E"/>
    <w:rsid w:val="00892C2E"/>
    <w:rsid w:val="0089357C"/>
    <w:rsid w:val="008949CC"/>
    <w:rsid w:val="0089549F"/>
    <w:rsid w:val="008958EF"/>
    <w:rsid w:val="008959F1"/>
    <w:rsid w:val="00895F27"/>
    <w:rsid w:val="008970B5"/>
    <w:rsid w:val="008971D9"/>
    <w:rsid w:val="008A0473"/>
    <w:rsid w:val="008A16AE"/>
    <w:rsid w:val="008A24BD"/>
    <w:rsid w:val="008A2593"/>
    <w:rsid w:val="008A2B4D"/>
    <w:rsid w:val="008A36ED"/>
    <w:rsid w:val="008A422F"/>
    <w:rsid w:val="008A42D8"/>
    <w:rsid w:val="008A45B1"/>
    <w:rsid w:val="008A59E9"/>
    <w:rsid w:val="008A668F"/>
    <w:rsid w:val="008A6A11"/>
    <w:rsid w:val="008A6C6F"/>
    <w:rsid w:val="008A71B7"/>
    <w:rsid w:val="008A72A4"/>
    <w:rsid w:val="008A75C5"/>
    <w:rsid w:val="008A7669"/>
    <w:rsid w:val="008A7819"/>
    <w:rsid w:val="008B01A2"/>
    <w:rsid w:val="008B0872"/>
    <w:rsid w:val="008B0DCC"/>
    <w:rsid w:val="008B1651"/>
    <w:rsid w:val="008B2DEB"/>
    <w:rsid w:val="008B3537"/>
    <w:rsid w:val="008B3D4F"/>
    <w:rsid w:val="008B4B0D"/>
    <w:rsid w:val="008B4B33"/>
    <w:rsid w:val="008B511C"/>
    <w:rsid w:val="008B5578"/>
    <w:rsid w:val="008B5867"/>
    <w:rsid w:val="008B5A81"/>
    <w:rsid w:val="008B6C45"/>
    <w:rsid w:val="008B7441"/>
    <w:rsid w:val="008C0743"/>
    <w:rsid w:val="008C084B"/>
    <w:rsid w:val="008C0DB5"/>
    <w:rsid w:val="008C1581"/>
    <w:rsid w:val="008C17CD"/>
    <w:rsid w:val="008C2453"/>
    <w:rsid w:val="008C2920"/>
    <w:rsid w:val="008C32F7"/>
    <w:rsid w:val="008C436D"/>
    <w:rsid w:val="008C4853"/>
    <w:rsid w:val="008C48F2"/>
    <w:rsid w:val="008C49EF"/>
    <w:rsid w:val="008C5040"/>
    <w:rsid w:val="008C5BE7"/>
    <w:rsid w:val="008C74CC"/>
    <w:rsid w:val="008C7C3C"/>
    <w:rsid w:val="008C7F77"/>
    <w:rsid w:val="008D13DC"/>
    <w:rsid w:val="008D1E23"/>
    <w:rsid w:val="008D2461"/>
    <w:rsid w:val="008D2C0B"/>
    <w:rsid w:val="008D34B7"/>
    <w:rsid w:val="008D4025"/>
    <w:rsid w:val="008D479A"/>
    <w:rsid w:val="008D4EA1"/>
    <w:rsid w:val="008D538D"/>
    <w:rsid w:val="008D5E0F"/>
    <w:rsid w:val="008D5FCD"/>
    <w:rsid w:val="008D6C6B"/>
    <w:rsid w:val="008D6F90"/>
    <w:rsid w:val="008D7615"/>
    <w:rsid w:val="008D76A0"/>
    <w:rsid w:val="008E0E8C"/>
    <w:rsid w:val="008E16C5"/>
    <w:rsid w:val="008E2051"/>
    <w:rsid w:val="008E2525"/>
    <w:rsid w:val="008E356A"/>
    <w:rsid w:val="008E3BCB"/>
    <w:rsid w:val="008E3BEB"/>
    <w:rsid w:val="008E412D"/>
    <w:rsid w:val="008E4145"/>
    <w:rsid w:val="008E451A"/>
    <w:rsid w:val="008E455C"/>
    <w:rsid w:val="008E4E8B"/>
    <w:rsid w:val="008E5867"/>
    <w:rsid w:val="008E5D5A"/>
    <w:rsid w:val="008E6240"/>
    <w:rsid w:val="008E6D2D"/>
    <w:rsid w:val="008E76F3"/>
    <w:rsid w:val="008E7A59"/>
    <w:rsid w:val="008E7FDA"/>
    <w:rsid w:val="008F01AB"/>
    <w:rsid w:val="008F23C7"/>
    <w:rsid w:val="008F2A4E"/>
    <w:rsid w:val="008F3DC9"/>
    <w:rsid w:val="008F4107"/>
    <w:rsid w:val="008F4807"/>
    <w:rsid w:val="008F4BFE"/>
    <w:rsid w:val="008F4F27"/>
    <w:rsid w:val="008F56B5"/>
    <w:rsid w:val="008F595E"/>
    <w:rsid w:val="008F7AEE"/>
    <w:rsid w:val="00900BAA"/>
    <w:rsid w:val="00901845"/>
    <w:rsid w:val="00901AAA"/>
    <w:rsid w:val="0090242C"/>
    <w:rsid w:val="00903281"/>
    <w:rsid w:val="009035F5"/>
    <w:rsid w:val="009037A0"/>
    <w:rsid w:val="009045C7"/>
    <w:rsid w:val="009046D9"/>
    <w:rsid w:val="00905641"/>
    <w:rsid w:val="009056A9"/>
    <w:rsid w:val="009067B8"/>
    <w:rsid w:val="00906975"/>
    <w:rsid w:val="00906EED"/>
    <w:rsid w:val="009070C2"/>
    <w:rsid w:val="0090715C"/>
    <w:rsid w:val="009074D6"/>
    <w:rsid w:val="00907955"/>
    <w:rsid w:val="009108A7"/>
    <w:rsid w:val="00911E1A"/>
    <w:rsid w:val="009123B9"/>
    <w:rsid w:val="00912DDD"/>
    <w:rsid w:val="00913F4C"/>
    <w:rsid w:val="0091404B"/>
    <w:rsid w:val="0091423A"/>
    <w:rsid w:val="00914307"/>
    <w:rsid w:val="00914370"/>
    <w:rsid w:val="00914CA0"/>
    <w:rsid w:val="00914DE2"/>
    <w:rsid w:val="00914FCB"/>
    <w:rsid w:val="0091537E"/>
    <w:rsid w:val="00915DE0"/>
    <w:rsid w:val="00916CCF"/>
    <w:rsid w:val="00920BC8"/>
    <w:rsid w:val="00921169"/>
    <w:rsid w:val="0092160E"/>
    <w:rsid w:val="009218D2"/>
    <w:rsid w:val="00921D14"/>
    <w:rsid w:val="00921D57"/>
    <w:rsid w:val="00921F94"/>
    <w:rsid w:val="00922076"/>
    <w:rsid w:val="00922316"/>
    <w:rsid w:val="0092237B"/>
    <w:rsid w:val="00922BFD"/>
    <w:rsid w:val="00922F27"/>
    <w:rsid w:val="00924CC1"/>
    <w:rsid w:val="009257B4"/>
    <w:rsid w:val="00925DD1"/>
    <w:rsid w:val="009260EC"/>
    <w:rsid w:val="0092698B"/>
    <w:rsid w:val="0092769F"/>
    <w:rsid w:val="00927817"/>
    <w:rsid w:val="00930B4A"/>
    <w:rsid w:val="0093135E"/>
    <w:rsid w:val="00932410"/>
    <w:rsid w:val="009324B1"/>
    <w:rsid w:val="00932575"/>
    <w:rsid w:val="009325D4"/>
    <w:rsid w:val="009327B5"/>
    <w:rsid w:val="00932A88"/>
    <w:rsid w:val="009331E9"/>
    <w:rsid w:val="00933241"/>
    <w:rsid w:val="00933DE4"/>
    <w:rsid w:val="009353FF"/>
    <w:rsid w:val="00935B7C"/>
    <w:rsid w:val="009365EB"/>
    <w:rsid w:val="00936F26"/>
    <w:rsid w:val="0094086F"/>
    <w:rsid w:val="00940B68"/>
    <w:rsid w:val="00940DF4"/>
    <w:rsid w:val="00941A1C"/>
    <w:rsid w:val="00942CAE"/>
    <w:rsid w:val="00943048"/>
    <w:rsid w:val="0094335F"/>
    <w:rsid w:val="00943704"/>
    <w:rsid w:val="00944202"/>
    <w:rsid w:val="00944A81"/>
    <w:rsid w:val="00944F9F"/>
    <w:rsid w:val="00945781"/>
    <w:rsid w:val="009459ED"/>
    <w:rsid w:val="00945DFF"/>
    <w:rsid w:val="00945E49"/>
    <w:rsid w:val="00945E7C"/>
    <w:rsid w:val="009462D8"/>
    <w:rsid w:val="00946388"/>
    <w:rsid w:val="009470FD"/>
    <w:rsid w:val="00947C1A"/>
    <w:rsid w:val="0095014D"/>
    <w:rsid w:val="00950267"/>
    <w:rsid w:val="009515E0"/>
    <w:rsid w:val="00951995"/>
    <w:rsid w:val="00951B63"/>
    <w:rsid w:val="00951C7E"/>
    <w:rsid w:val="00951CF6"/>
    <w:rsid w:val="009520A6"/>
    <w:rsid w:val="009536DA"/>
    <w:rsid w:val="009537A7"/>
    <w:rsid w:val="009548C3"/>
    <w:rsid w:val="0095506D"/>
    <w:rsid w:val="0095535D"/>
    <w:rsid w:val="009555E2"/>
    <w:rsid w:val="00955A31"/>
    <w:rsid w:val="009567AF"/>
    <w:rsid w:val="0095685B"/>
    <w:rsid w:val="009572CB"/>
    <w:rsid w:val="00957679"/>
    <w:rsid w:val="009576C5"/>
    <w:rsid w:val="00957C19"/>
    <w:rsid w:val="00957D9C"/>
    <w:rsid w:val="00960DC9"/>
    <w:rsid w:val="00960F93"/>
    <w:rsid w:val="009612F1"/>
    <w:rsid w:val="00961B8B"/>
    <w:rsid w:val="00961BF6"/>
    <w:rsid w:val="00962AA0"/>
    <w:rsid w:val="00962CB3"/>
    <w:rsid w:val="00963164"/>
    <w:rsid w:val="00963275"/>
    <w:rsid w:val="0096347D"/>
    <w:rsid w:val="00963CD6"/>
    <w:rsid w:val="009646FA"/>
    <w:rsid w:val="009654F0"/>
    <w:rsid w:val="009667FB"/>
    <w:rsid w:val="00966C9A"/>
    <w:rsid w:val="00967B12"/>
    <w:rsid w:val="00970F7A"/>
    <w:rsid w:val="0097132B"/>
    <w:rsid w:val="0097189F"/>
    <w:rsid w:val="00971C42"/>
    <w:rsid w:val="00971EC5"/>
    <w:rsid w:val="00971FCC"/>
    <w:rsid w:val="00971FE2"/>
    <w:rsid w:val="009728FB"/>
    <w:rsid w:val="0097298A"/>
    <w:rsid w:val="0097373B"/>
    <w:rsid w:val="00973BAF"/>
    <w:rsid w:val="00974182"/>
    <w:rsid w:val="00975236"/>
    <w:rsid w:val="0097579F"/>
    <w:rsid w:val="00975CBD"/>
    <w:rsid w:val="0097672C"/>
    <w:rsid w:val="009769BA"/>
    <w:rsid w:val="009773CE"/>
    <w:rsid w:val="0097780F"/>
    <w:rsid w:val="009778AB"/>
    <w:rsid w:val="00981CB6"/>
    <w:rsid w:val="00982AB4"/>
    <w:rsid w:val="00983061"/>
    <w:rsid w:val="0098312F"/>
    <w:rsid w:val="00983223"/>
    <w:rsid w:val="00984206"/>
    <w:rsid w:val="0098511E"/>
    <w:rsid w:val="0098541D"/>
    <w:rsid w:val="00985C9A"/>
    <w:rsid w:val="009866CE"/>
    <w:rsid w:val="009879B5"/>
    <w:rsid w:val="00990732"/>
    <w:rsid w:val="00990C1F"/>
    <w:rsid w:val="00991820"/>
    <w:rsid w:val="00991C57"/>
    <w:rsid w:val="00991F39"/>
    <w:rsid w:val="009930C0"/>
    <w:rsid w:val="009936F9"/>
    <w:rsid w:val="00993D3B"/>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968"/>
    <w:rsid w:val="009A3DBF"/>
    <w:rsid w:val="009A43FF"/>
    <w:rsid w:val="009A637B"/>
    <w:rsid w:val="009A67CD"/>
    <w:rsid w:val="009A788B"/>
    <w:rsid w:val="009A7E1C"/>
    <w:rsid w:val="009B003C"/>
    <w:rsid w:val="009B0DFC"/>
    <w:rsid w:val="009B2465"/>
    <w:rsid w:val="009B285A"/>
    <w:rsid w:val="009B300F"/>
    <w:rsid w:val="009B3745"/>
    <w:rsid w:val="009B3BC3"/>
    <w:rsid w:val="009B46E0"/>
    <w:rsid w:val="009B521B"/>
    <w:rsid w:val="009B5DD5"/>
    <w:rsid w:val="009B6970"/>
    <w:rsid w:val="009B74E2"/>
    <w:rsid w:val="009C00EF"/>
    <w:rsid w:val="009C064F"/>
    <w:rsid w:val="009C1566"/>
    <w:rsid w:val="009C245B"/>
    <w:rsid w:val="009C281C"/>
    <w:rsid w:val="009C3440"/>
    <w:rsid w:val="009C4E6E"/>
    <w:rsid w:val="009C520B"/>
    <w:rsid w:val="009C5874"/>
    <w:rsid w:val="009C6768"/>
    <w:rsid w:val="009C6894"/>
    <w:rsid w:val="009C6B3B"/>
    <w:rsid w:val="009C6B7B"/>
    <w:rsid w:val="009C6DA9"/>
    <w:rsid w:val="009D22EA"/>
    <w:rsid w:val="009D2A1A"/>
    <w:rsid w:val="009D2C4C"/>
    <w:rsid w:val="009D2C71"/>
    <w:rsid w:val="009D341F"/>
    <w:rsid w:val="009D3508"/>
    <w:rsid w:val="009D3879"/>
    <w:rsid w:val="009D4303"/>
    <w:rsid w:val="009D4A8E"/>
    <w:rsid w:val="009D50E8"/>
    <w:rsid w:val="009D5637"/>
    <w:rsid w:val="009D57D5"/>
    <w:rsid w:val="009D5D05"/>
    <w:rsid w:val="009D62E7"/>
    <w:rsid w:val="009D64A4"/>
    <w:rsid w:val="009D6F0D"/>
    <w:rsid w:val="009D7423"/>
    <w:rsid w:val="009D7576"/>
    <w:rsid w:val="009D7776"/>
    <w:rsid w:val="009D7C4F"/>
    <w:rsid w:val="009E1726"/>
    <w:rsid w:val="009E1F70"/>
    <w:rsid w:val="009E2F97"/>
    <w:rsid w:val="009E3790"/>
    <w:rsid w:val="009E3809"/>
    <w:rsid w:val="009E3B5F"/>
    <w:rsid w:val="009E3C3E"/>
    <w:rsid w:val="009E457F"/>
    <w:rsid w:val="009E4811"/>
    <w:rsid w:val="009E5912"/>
    <w:rsid w:val="009E59CC"/>
    <w:rsid w:val="009E6928"/>
    <w:rsid w:val="009E732A"/>
    <w:rsid w:val="009E73D9"/>
    <w:rsid w:val="009F0BCF"/>
    <w:rsid w:val="009F0CD1"/>
    <w:rsid w:val="009F115A"/>
    <w:rsid w:val="009F15B3"/>
    <w:rsid w:val="009F187B"/>
    <w:rsid w:val="009F3CC3"/>
    <w:rsid w:val="009F3F25"/>
    <w:rsid w:val="009F4375"/>
    <w:rsid w:val="009F4769"/>
    <w:rsid w:val="009F4F05"/>
    <w:rsid w:val="009F5218"/>
    <w:rsid w:val="009F6420"/>
    <w:rsid w:val="009F68BE"/>
    <w:rsid w:val="00A0039D"/>
    <w:rsid w:val="00A00574"/>
    <w:rsid w:val="00A00ABE"/>
    <w:rsid w:val="00A00B85"/>
    <w:rsid w:val="00A010FB"/>
    <w:rsid w:val="00A02B5C"/>
    <w:rsid w:val="00A0345F"/>
    <w:rsid w:val="00A04447"/>
    <w:rsid w:val="00A0526B"/>
    <w:rsid w:val="00A05B63"/>
    <w:rsid w:val="00A05B8C"/>
    <w:rsid w:val="00A05CB6"/>
    <w:rsid w:val="00A05F8B"/>
    <w:rsid w:val="00A066E7"/>
    <w:rsid w:val="00A0678E"/>
    <w:rsid w:val="00A06EE7"/>
    <w:rsid w:val="00A07654"/>
    <w:rsid w:val="00A07B16"/>
    <w:rsid w:val="00A07DCC"/>
    <w:rsid w:val="00A07FA3"/>
    <w:rsid w:val="00A10B48"/>
    <w:rsid w:val="00A11ACA"/>
    <w:rsid w:val="00A11E0F"/>
    <w:rsid w:val="00A12206"/>
    <w:rsid w:val="00A12BEE"/>
    <w:rsid w:val="00A13715"/>
    <w:rsid w:val="00A13A3E"/>
    <w:rsid w:val="00A14566"/>
    <w:rsid w:val="00A145D0"/>
    <w:rsid w:val="00A157EC"/>
    <w:rsid w:val="00A17345"/>
    <w:rsid w:val="00A1789B"/>
    <w:rsid w:val="00A203ED"/>
    <w:rsid w:val="00A205BF"/>
    <w:rsid w:val="00A2089C"/>
    <w:rsid w:val="00A20D0A"/>
    <w:rsid w:val="00A2104B"/>
    <w:rsid w:val="00A210E9"/>
    <w:rsid w:val="00A213B0"/>
    <w:rsid w:val="00A21526"/>
    <w:rsid w:val="00A21AAA"/>
    <w:rsid w:val="00A21FEA"/>
    <w:rsid w:val="00A23DD3"/>
    <w:rsid w:val="00A2470A"/>
    <w:rsid w:val="00A2481C"/>
    <w:rsid w:val="00A2627F"/>
    <w:rsid w:val="00A26883"/>
    <w:rsid w:val="00A30BAE"/>
    <w:rsid w:val="00A30C48"/>
    <w:rsid w:val="00A30D43"/>
    <w:rsid w:val="00A314A9"/>
    <w:rsid w:val="00A31591"/>
    <w:rsid w:val="00A31927"/>
    <w:rsid w:val="00A31BB3"/>
    <w:rsid w:val="00A321EE"/>
    <w:rsid w:val="00A324A3"/>
    <w:rsid w:val="00A325C2"/>
    <w:rsid w:val="00A32C37"/>
    <w:rsid w:val="00A3368E"/>
    <w:rsid w:val="00A348AD"/>
    <w:rsid w:val="00A34AB8"/>
    <w:rsid w:val="00A3533F"/>
    <w:rsid w:val="00A3673E"/>
    <w:rsid w:val="00A37165"/>
    <w:rsid w:val="00A374BD"/>
    <w:rsid w:val="00A402CC"/>
    <w:rsid w:val="00A42777"/>
    <w:rsid w:val="00A4329C"/>
    <w:rsid w:val="00A4339C"/>
    <w:rsid w:val="00A436C2"/>
    <w:rsid w:val="00A449D2"/>
    <w:rsid w:val="00A44E28"/>
    <w:rsid w:val="00A4528E"/>
    <w:rsid w:val="00A4570E"/>
    <w:rsid w:val="00A46129"/>
    <w:rsid w:val="00A4648A"/>
    <w:rsid w:val="00A46B10"/>
    <w:rsid w:val="00A46FAD"/>
    <w:rsid w:val="00A472DB"/>
    <w:rsid w:val="00A5044D"/>
    <w:rsid w:val="00A50B00"/>
    <w:rsid w:val="00A50E51"/>
    <w:rsid w:val="00A514EB"/>
    <w:rsid w:val="00A518FF"/>
    <w:rsid w:val="00A521E0"/>
    <w:rsid w:val="00A52BE9"/>
    <w:rsid w:val="00A54AC8"/>
    <w:rsid w:val="00A54CD7"/>
    <w:rsid w:val="00A54D16"/>
    <w:rsid w:val="00A55877"/>
    <w:rsid w:val="00A55DCC"/>
    <w:rsid w:val="00A5637C"/>
    <w:rsid w:val="00A564A4"/>
    <w:rsid w:val="00A565A9"/>
    <w:rsid w:val="00A566D2"/>
    <w:rsid w:val="00A568CE"/>
    <w:rsid w:val="00A56B71"/>
    <w:rsid w:val="00A56BEC"/>
    <w:rsid w:val="00A56C2C"/>
    <w:rsid w:val="00A6099F"/>
    <w:rsid w:val="00A60ED7"/>
    <w:rsid w:val="00A61828"/>
    <w:rsid w:val="00A61E26"/>
    <w:rsid w:val="00A622E2"/>
    <w:rsid w:val="00A62B97"/>
    <w:rsid w:val="00A62D0F"/>
    <w:rsid w:val="00A630C0"/>
    <w:rsid w:val="00A63872"/>
    <w:rsid w:val="00A63A37"/>
    <w:rsid w:val="00A648F2"/>
    <w:rsid w:val="00A65C98"/>
    <w:rsid w:val="00A6630B"/>
    <w:rsid w:val="00A67A2E"/>
    <w:rsid w:val="00A67A8E"/>
    <w:rsid w:val="00A67DED"/>
    <w:rsid w:val="00A70A35"/>
    <w:rsid w:val="00A71292"/>
    <w:rsid w:val="00A7141F"/>
    <w:rsid w:val="00A71536"/>
    <w:rsid w:val="00A71E99"/>
    <w:rsid w:val="00A72291"/>
    <w:rsid w:val="00A7337F"/>
    <w:rsid w:val="00A7469D"/>
    <w:rsid w:val="00A74E04"/>
    <w:rsid w:val="00A74F6C"/>
    <w:rsid w:val="00A750D3"/>
    <w:rsid w:val="00A75212"/>
    <w:rsid w:val="00A760AD"/>
    <w:rsid w:val="00A7634B"/>
    <w:rsid w:val="00A7647C"/>
    <w:rsid w:val="00A76A52"/>
    <w:rsid w:val="00A76BA5"/>
    <w:rsid w:val="00A7735F"/>
    <w:rsid w:val="00A80709"/>
    <w:rsid w:val="00A817F3"/>
    <w:rsid w:val="00A81DCD"/>
    <w:rsid w:val="00A8221B"/>
    <w:rsid w:val="00A82D80"/>
    <w:rsid w:val="00A83430"/>
    <w:rsid w:val="00A8389D"/>
    <w:rsid w:val="00A83BF1"/>
    <w:rsid w:val="00A84298"/>
    <w:rsid w:val="00A842D6"/>
    <w:rsid w:val="00A844C6"/>
    <w:rsid w:val="00A8523D"/>
    <w:rsid w:val="00A853A6"/>
    <w:rsid w:val="00A86A31"/>
    <w:rsid w:val="00A905F1"/>
    <w:rsid w:val="00A90E27"/>
    <w:rsid w:val="00A911C3"/>
    <w:rsid w:val="00A91218"/>
    <w:rsid w:val="00A913B4"/>
    <w:rsid w:val="00A92A8E"/>
    <w:rsid w:val="00A92BA5"/>
    <w:rsid w:val="00A934FE"/>
    <w:rsid w:val="00A93847"/>
    <w:rsid w:val="00A94B41"/>
    <w:rsid w:val="00A95933"/>
    <w:rsid w:val="00A959DF"/>
    <w:rsid w:val="00A96D7E"/>
    <w:rsid w:val="00A97060"/>
    <w:rsid w:val="00A97B8C"/>
    <w:rsid w:val="00A97BCD"/>
    <w:rsid w:val="00A97EB5"/>
    <w:rsid w:val="00AA0C88"/>
    <w:rsid w:val="00AA158B"/>
    <w:rsid w:val="00AA1BE9"/>
    <w:rsid w:val="00AA1D12"/>
    <w:rsid w:val="00AA216B"/>
    <w:rsid w:val="00AA2241"/>
    <w:rsid w:val="00AA2CD8"/>
    <w:rsid w:val="00AA30A2"/>
    <w:rsid w:val="00AA35D2"/>
    <w:rsid w:val="00AA37AC"/>
    <w:rsid w:val="00AA398E"/>
    <w:rsid w:val="00AA49B7"/>
    <w:rsid w:val="00AA61DD"/>
    <w:rsid w:val="00AA630A"/>
    <w:rsid w:val="00AA69EF"/>
    <w:rsid w:val="00AA6F9A"/>
    <w:rsid w:val="00AA7159"/>
    <w:rsid w:val="00AA7A0E"/>
    <w:rsid w:val="00AB02C8"/>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2671"/>
    <w:rsid w:val="00AC27BD"/>
    <w:rsid w:val="00AC2D25"/>
    <w:rsid w:val="00AC2E78"/>
    <w:rsid w:val="00AC33F9"/>
    <w:rsid w:val="00AC3431"/>
    <w:rsid w:val="00AC34AE"/>
    <w:rsid w:val="00AC3727"/>
    <w:rsid w:val="00AC4379"/>
    <w:rsid w:val="00AC4D53"/>
    <w:rsid w:val="00AC4E7D"/>
    <w:rsid w:val="00AC55D6"/>
    <w:rsid w:val="00AC6071"/>
    <w:rsid w:val="00AC62C7"/>
    <w:rsid w:val="00AC63F4"/>
    <w:rsid w:val="00AC7483"/>
    <w:rsid w:val="00AC755E"/>
    <w:rsid w:val="00AC7BC4"/>
    <w:rsid w:val="00AD067C"/>
    <w:rsid w:val="00AD163D"/>
    <w:rsid w:val="00AD1744"/>
    <w:rsid w:val="00AD1B03"/>
    <w:rsid w:val="00AD1D48"/>
    <w:rsid w:val="00AD1DFE"/>
    <w:rsid w:val="00AD1F3F"/>
    <w:rsid w:val="00AD2D96"/>
    <w:rsid w:val="00AD3328"/>
    <w:rsid w:val="00AD3B9D"/>
    <w:rsid w:val="00AD3BEC"/>
    <w:rsid w:val="00AD5B99"/>
    <w:rsid w:val="00AD732B"/>
    <w:rsid w:val="00AD7927"/>
    <w:rsid w:val="00AD7E7F"/>
    <w:rsid w:val="00AE0B70"/>
    <w:rsid w:val="00AE0F2E"/>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217E"/>
    <w:rsid w:val="00AF2BDA"/>
    <w:rsid w:val="00AF2DE9"/>
    <w:rsid w:val="00AF3C8C"/>
    <w:rsid w:val="00AF41F0"/>
    <w:rsid w:val="00AF457C"/>
    <w:rsid w:val="00AF461C"/>
    <w:rsid w:val="00AF5363"/>
    <w:rsid w:val="00AF5494"/>
    <w:rsid w:val="00AF5CB8"/>
    <w:rsid w:val="00AF5F78"/>
    <w:rsid w:val="00AF66F1"/>
    <w:rsid w:val="00AF7EA9"/>
    <w:rsid w:val="00B00306"/>
    <w:rsid w:val="00B00A5B"/>
    <w:rsid w:val="00B010D3"/>
    <w:rsid w:val="00B01CC2"/>
    <w:rsid w:val="00B01F0D"/>
    <w:rsid w:val="00B0238F"/>
    <w:rsid w:val="00B02A4C"/>
    <w:rsid w:val="00B0312E"/>
    <w:rsid w:val="00B03D26"/>
    <w:rsid w:val="00B03E14"/>
    <w:rsid w:val="00B04047"/>
    <w:rsid w:val="00B04D36"/>
    <w:rsid w:val="00B04F11"/>
    <w:rsid w:val="00B05155"/>
    <w:rsid w:val="00B05688"/>
    <w:rsid w:val="00B05A41"/>
    <w:rsid w:val="00B06241"/>
    <w:rsid w:val="00B07988"/>
    <w:rsid w:val="00B07EDA"/>
    <w:rsid w:val="00B11AC8"/>
    <w:rsid w:val="00B11C22"/>
    <w:rsid w:val="00B11E9A"/>
    <w:rsid w:val="00B13818"/>
    <w:rsid w:val="00B13C59"/>
    <w:rsid w:val="00B14DDF"/>
    <w:rsid w:val="00B14E6C"/>
    <w:rsid w:val="00B151C6"/>
    <w:rsid w:val="00B15CC4"/>
    <w:rsid w:val="00B17793"/>
    <w:rsid w:val="00B17D79"/>
    <w:rsid w:val="00B17F5F"/>
    <w:rsid w:val="00B20057"/>
    <w:rsid w:val="00B208A5"/>
    <w:rsid w:val="00B209B5"/>
    <w:rsid w:val="00B20E2B"/>
    <w:rsid w:val="00B21CA7"/>
    <w:rsid w:val="00B22651"/>
    <w:rsid w:val="00B22CE2"/>
    <w:rsid w:val="00B23216"/>
    <w:rsid w:val="00B23960"/>
    <w:rsid w:val="00B24165"/>
    <w:rsid w:val="00B2484E"/>
    <w:rsid w:val="00B24C37"/>
    <w:rsid w:val="00B24F49"/>
    <w:rsid w:val="00B255A7"/>
    <w:rsid w:val="00B25A70"/>
    <w:rsid w:val="00B25F9A"/>
    <w:rsid w:val="00B263DD"/>
    <w:rsid w:val="00B27080"/>
    <w:rsid w:val="00B272D3"/>
    <w:rsid w:val="00B31F85"/>
    <w:rsid w:val="00B32D9A"/>
    <w:rsid w:val="00B33105"/>
    <w:rsid w:val="00B332F0"/>
    <w:rsid w:val="00B336EB"/>
    <w:rsid w:val="00B3396B"/>
    <w:rsid w:val="00B33C09"/>
    <w:rsid w:val="00B34CA0"/>
    <w:rsid w:val="00B3543A"/>
    <w:rsid w:val="00B35846"/>
    <w:rsid w:val="00B35E23"/>
    <w:rsid w:val="00B364F3"/>
    <w:rsid w:val="00B36993"/>
    <w:rsid w:val="00B40294"/>
    <w:rsid w:val="00B40D73"/>
    <w:rsid w:val="00B411BF"/>
    <w:rsid w:val="00B426FE"/>
    <w:rsid w:val="00B4299D"/>
    <w:rsid w:val="00B430D3"/>
    <w:rsid w:val="00B43215"/>
    <w:rsid w:val="00B433B2"/>
    <w:rsid w:val="00B437BD"/>
    <w:rsid w:val="00B439FA"/>
    <w:rsid w:val="00B43A55"/>
    <w:rsid w:val="00B43F99"/>
    <w:rsid w:val="00B4485B"/>
    <w:rsid w:val="00B448C2"/>
    <w:rsid w:val="00B45180"/>
    <w:rsid w:val="00B46FB7"/>
    <w:rsid w:val="00B477AA"/>
    <w:rsid w:val="00B4783F"/>
    <w:rsid w:val="00B47CEF"/>
    <w:rsid w:val="00B50D90"/>
    <w:rsid w:val="00B50DBE"/>
    <w:rsid w:val="00B52A20"/>
    <w:rsid w:val="00B52D01"/>
    <w:rsid w:val="00B54CD5"/>
    <w:rsid w:val="00B553CF"/>
    <w:rsid w:val="00B553DB"/>
    <w:rsid w:val="00B558AB"/>
    <w:rsid w:val="00B55957"/>
    <w:rsid w:val="00B560F8"/>
    <w:rsid w:val="00B566E0"/>
    <w:rsid w:val="00B5685D"/>
    <w:rsid w:val="00B57861"/>
    <w:rsid w:val="00B57900"/>
    <w:rsid w:val="00B57E03"/>
    <w:rsid w:val="00B60E6E"/>
    <w:rsid w:val="00B61E14"/>
    <w:rsid w:val="00B63A2F"/>
    <w:rsid w:val="00B63CF7"/>
    <w:rsid w:val="00B64484"/>
    <w:rsid w:val="00B65956"/>
    <w:rsid w:val="00B65E54"/>
    <w:rsid w:val="00B660A0"/>
    <w:rsid w:val="00B67D22"/>
    <w:rsid w:val="00B70068"/>
    <w:rsid w:val="00B701B4"/>
    <w:rsid w:val="00B7049B"/>
    <w:rsid w:val="00B70EDB"/>
    <w:rsid w:val="00B71A5D"/>
    <w:rsid w:val="00B71F17"/>
    <w:rsid w:val="00B72444"/>
    <w:rsid w:val="00B737C7"/>
    <w:rsid w:val="00B74A0D"/>
    <w:rsid w:val="00B74FBD"/>
    <w:rsid w:val="00B75667"/>
    <w:rsid w:val="00B75780"/>
    <w:rsid w:val="00B76A7A"/>
    <w:rsid w:val="00B77B01"/>
    <w:rsid w:val="00B77D8A"/>
    <w:rsid w:val="00B8041E"/>
    <w:rsid w:val="00B80D16"/>
    <w:rsid w:val="00B814AA"/>
    <w:rsid w:val="00B81684"/>
    <w:rsid w:val="00B817F4"/>
    <w:rsid w:val="00B821AB"/>
    <w:rsid w:val="00B82BBC"/>
    <w:rsid w:val="00B830F7"/>
    <w:rsid w:val="00B8358C"/>
    <w:rsid w:val="00B83DF6"/>
    <w:rsid w:val="00B83FEF"/>
    <w:rsid w:val="00B8620A"/>
    <w:rsid w:val="00B86DBB"/>
    <w:rsid w:val="00B86FC3"/>
    <w:rsid w:val="00B901C1"/>
    <w:rsid w:val="00B9086A"/>
    <w:rsid w:val="00B91DBA"/>
    <w:rsid w:val="00B93093"/>
    <w:rsid w:val="00B93392"/>
    <w:rsid w:val="00B93412"/>
    <w:rsid w:val="00B93C36"/>
    <w:rsid w:val="00B93DEE"/>
    <w:rsid w:val="00B94054"/>
    <w:rsid w:val="00B9422E"/>
    <w:rsid w:val="00B94253"/>
    <w:rsid w:val="00B94AC1"/>
    <w:rsid w:val="00B950E8"/>
    <w:rsid w:val="00B954FC"/>
    <w:rsid w:val="00B959B1"/>
    <w:rsid w:val="00B961D5"/>
    <w:rsid w:val="00B96482"/>
    <w:rsid w:val="00B96CF0"/>
    <w:rsid w:val="00B971D6"/>
    <w:rsid w:val="00B972EA"/>
    <w:rsid w:val="00B977E6"/>
    <w:rsid w:val="00BA0841"/>
    <w:rsid w:val="00BA0FFB"/>
    <w:rsid w:val="00BA1903"/>
    <w:rsid w:val="00BA1E65"/>
    <w:rsid w:val="00BA2642"/>
    <w:rsid w:val="00BA2729"/>
    <w:rsid w:val="00BA283C"/>
    <w:rsid w:val="00BA2AEB"/>
    <w:rsid w:val="00BA2BCA"/>
    <w:rsid w:val="00BA3A4C"/>
    <w:rsid w:val="00BA3B3B"/>
    <w:rsid w:val="00BA40BE"/>
    <w:rsid w:val="00BA44AB"/>
    <w:rsid w:val="00BA48E0"/>
    <w:rsid w:val="00BA4AE5"/>
    <w:rsid w:val="00BA5EFB"/>
    <w:rsid w:val="00BA659A"/>
    <w:rsid w:val="00BA68C1"/>
    <w:rsid w:val="00BA6E74"/>
    <w:rsid w:val="00BA715B"/>
    <w:rsid w:val="00BA76DC"/>
    <w:rsid w:val="00BA79BC"/>
    <w:rsid w:val="00BA7EB0"/>
    <w:rsid w:val="00BB022B"/>
    <w:rsid w:val="00BB0528"/>
    <w:rsid w:val="00BB07FA"/>
    <w:rsid w:val="00BB1D67"/>
    <w:rsid w:val="00BB214E"/>
    <w:rsid w:val="00BB23BD"/>
    <w:rsid w:val="00BB301E"/>
    <w:rsid w:val="00BB3F4C"/>
    <w:rsid w:val="00BB5260"/>
    <w:rsid w:val="00BB5FEA"/>
    <w:rsid w:val="00BB724B"/>
    <w:rsid w:val="00BB72E6"/>
    <w:rsid w:val="00BB797E"/>
    <w:rsid w:val="00BB7BA0"/>
    <w:rsid w:val="00BC06F8"/>
    <w:rsid w:val="00BC0F2D"/>
    <w:rsid w:val="00BC10AB"/>
    <w:rsid w:val="00BC143A"/>
    <w:rsid w:val="00BC16BF"/>
    <w:rsid w:val="00BC1BFD"/>
    <w:rsid w:val="00BC201A"/>
    <w:rsid w:val="00BC2DEE"/>
    <w:rsid w:val="00BC2F5C"/>
    <w:rsid w:val="00BC38B8"/>
    <w:rsid w:val="00BC44F2"/>
    <w:rsid w:val="00BC532D"/>
    <w:rsid w:val="00BC5359"/>
    <w:rsid w:val="00BC6D8F"/>
    <w:rsid w:val="00BC7ADB"/>
    <w:rsid w:val="00BC7DB0"/>
    <w:rsid w:val="00BD082C"/>
    <w:rsid w:val="00BD0942"/>
    <w:rsid w:val="00BD0A3A"/>
    <w:rsid w:val="00BD0FC4"/>
    <w:rsid w:val="00BD1151"/>
    <w:rsid w:val="00BD13D0"/>
    <w:rsid w:val="00BD140B"/>
    <w:rsid w:val="00BD2A08"/>
    <w:rsid w:val="00BD2A23"/>
    <w:rsid w:val="00BD2E2C"/>
    <w:rsid w:val="00BD2FB1"/>
    <w:rsid w:val="00BD3636"/>
    <w:rsid w:val="00BD386B"/>
    <w:rsid w:val="00BD3A3C"/>
    <w:rsid w:val="00BD3C69"/>
    <w:rsid w:val="00BD3D7A"/>
    <w:rsid w:val="00BD435C"/>
    <w:rsid w:val="00BD471D"/>
    <w:rsid w:val="00BD567C"/>
    <w:rsid w:val="00BD5A65"/>
    <w:rsid w:val="00BD689C"/>
    <w:rsid w:val="00BD68BE"/>
    <w:rsid w:val="00BD7F9E"/>
    <w:rsid w:val="00BE09DC"/>
    <w:rsid w:val="00BE0D74"/>
    <w:rsid w:val="00BE1378"/>
    <w:rsid w:val="00BE1A06"/>
    <w:rsid w:val="00BE20F7"/>
    <w:rsid w:val="00BE2BB7"/>
    <w:rsid w:val="00BE40F3"/>
    <w:rsid w:val="00BE65B3"/>
    <w:rsid w:val="00BE69FE"/>
    <w:rsid w:val="00BE742D"/>
    <w:rsid w:val="00BF0ACA"/>
    <w:rsid w:val="00BF0FD5"/>
    <w:rsid w:val="00BF10D2"/>
    <w:rsid w:val="00BF116C"/>
    <w:rsid w:val="00BF120B"/>
    <w:rsid w:val="00BF19D1"/>
    <w:rsid w:val="00BF22EE"/>
    <w:rsid w:val="00BF2AF0"/>
    <w:rsid w:val="00BF31CB"/>
    <w:rsid w:val="00BF4B69"/>
    <w:rsid w:val="00BF51F0"/>
    <w:rsid w:val="00BF60E3"/>
    <w:rsid w:val="00BF67D2"/>
    <w:rsid w:val="00BF70A1"/>
    <w:rsid w:val="00BF7D43"/>
    <w:rsid w:val="00C00B95"/>
    <w:rsid w:val="00C00D06"/>
    <w:rsid w:val="00C00D60"/>
    <w:rsid w:val="00C013A3"/>
    <w:rsid w:val="00C01B4D"/>
    <w:rsid w:val="00C02C93"/>
    <w:rsid w:val="00C0409F"/>
    <w:rsid w:val="00C045D1"/>
    <w:rsid w:val="00C04D46"/>
    <w:rsid w:val="00C052F4"/>
    <w:rsid w:val="00C0546C"/>
    <w:rsid w:val="00C055A0"/>
    <w:rsid w:val="00C05678"/>
    <w:rsid w:val="00C057E0"/>
    <w:rsid w:val="00C0599D"/>
    <w:rsid w:val="00C05C20"/>
    <w:rsid w:val="00C05DB8"/>
    <w:rsid w:val="00C06066"/>
    <w:rsid w:val="00C067A4"/>
    <w:rsid w:val="00C076F5"/>
    <w:rsid w:val="00C078CC"/>
    <w:rsid w:val="00C07CAD"/>
    <w:rsid w:val="00C10F74"/>
    <w:rsid w:val="00C11183"/>
    <w:rsid w:val="00C118E4"/>
    <w:rsid w:val="00C11CA8"/>
    <w:rsid w:val="00C11FE5"/>
    <w:rsid w:val="00C11FF6"/>
    <w:rsid w:val="00C122BF"/>
    <w:rsid w:val="00C13AD5"/>
    <w:rsid w:val="00C13C8A"/>
    <w:rsid w:val="00C14FE4"/>
    <w:rsid w:val="00C15135"/>
    <w:rsid w:val="00C154B6"/>
    <w:rsid w:val="00C17D12"/>
    <w:rsid w:val="00C17D89"/>
    <w:rsid w:val="00C20049"/>
    <w:rsid w:val="00C2068D"/>
    <w:rsid w:val="00C206C4"/>
    <w:rsid w:val="00C219B3"/>
    <w:rsid w:val="00C22495"/>
    <w:rsid w:val="00C22876"/>
    <w:rsid w:val="00C232DD"/>
    <w:rsid w:val="00C24018"/>
    <w:rsid w:val="00C2423A"/>
    <w:rsid w:val="00C24DDC"/>
    <w:rsid w:val="00C24EE5"/>
    <w:rsid w:val="00C26A24"/>
    <w:rsid w:val="00C271D7"/>
    <w:rsid w:val="00C27E62"/>
    <w:rsid w:val="00C300D9"/>
    <w:rsid w:val="00C30406"/>
    <w:rsid w:val="00C30D3F"/>
    <w:rsid w:val="00C30DAA"/>
    <w:rsid w:val="00C30F1F"/>
    <w:rsid w:val="00C31089"/>
    <w:rsid w:val="00C319A2"/>
    <w:rsid w:val="00C32075"/>
    <w:rsid w:val="00C3208A"/>
    <w:rsid w:val="00C337F3"/>
    <w:rsid w:val="00C33B98"/>
    <w:rsid w:val="00C33FF0"/>
    <w:rsid w:val="00C34751"/>
    <w:rsid w:val="00C34C05"/>
    <w:rsid w:val="00C351AC"/>
    <w:rsid w:val="00C354D0"/>
    <w:rsid w:val="00C3566B"/>
    <w:rsid w:val="00C35B23"/>
    <w:rsid w:val="00C36064"/>
    <w:rsid w:val="00C36BFA"/>
    <w:rsid w:val="00C37050"/>
    <w:rsid w:val="00C37D75"/>
    <w:rsid w:val="00C4018E"/>
    <w:rsid w:val="00C40FA9"/>
    <w:rsid w:val="00C41332"/>
    <w:rsid w:val="00C419A3"/>
    <w:rsid w:val="00C41B56"/>
    <w:rsid w:val="00C41D2B"/>
    <w:rsid w:val="00C444D9"/>
    <w:rsid w:val="00C44500"/>
    <w:rsid w:val="00C447FB"/>
    <w:rsid w:val="00C460CA"/>
    <w:rsid w:val="00C46896"/>
    <w:rsid w:val="00C479D8"/>
    <w:rsid w:val="00C47AE8"/>
    <w:rsid w:val="00C47B1C"/>
    <w:rsid w:val="00C50066"/>
    <w:rsid w:val="00C5017F"/>
    <w:rsid w:val="00C51B51"/>
    <w:rsid w:val="00C51F1A"/>
    <w:rsid w:val="00C522F8"/>
    <w:rsid w:val="00C5257E"/>
    <w:rsid w:val="00C52BD9"/>
    <w:rsid w:val="00C52FE0"/>
    <w:rsid w:val="00C5337B"/>
    <w:rsid w:val="00C544CA"/>
    <w:rsid w:val="00C54C62"/>
    <w:rsid w:val="00C55231"/>
    <w:rsid w:val="00C563DF"/>
    <w:rsid w:val="00C57750"/>
    <w:rsid w:val="00C57CC6"/>
    <w:rsid w:val="00C604D8"/>
    <w:rsid w:val="00C60EC1"/>
    <w:rsid w:val="00C61F3D"/>
    <w:rsid w:val="00C620E3"/>
    <w:rsid w:val="00C62997"/>
    <w:rsid w:val="00C62B6B"/>
    <w:rsid w:val="00C62DEF"/>
    <w:rsid w:val="00C62F42"/>
    <w:rsid w:val="00C633AB"/>
    <w:rsid w:val="00C64849"/>
    <w:rsid w:val="00C65F58"/>
    <w:rsid w:val="00C66571"/>
    <w:rsid w:val="00C667F6"/>
    <w:rsid w:val="00C66941"/>
    <w:rsid w:val="00C66B7F"/>
    <w:rsid w:val="00C66C4B"/>
    <w:rsid w:val="00C67420"/>
    <w:rsid w:val="00C679BA"/>
    <w:rsid w:val="00C70551"/>
    <w:rsid w:val="00C71CB1"/>
    <w:rsid w:val="00C7296E"/>
    <w:rsid w:val="00C72AD3"/>
    <w:rsid w:val="00C73242"/>
    <w:rsid w:val="00C7357D"/>
    <w:rsid w:val="00C741B5"/>
    <w:rsid w:val="00C75004"/>
    <w:rsid w:val="00C755E8"/>
    <w:rsid w:val="00C75970"/>
    <w:rsid w:val="00C75A42"/>
    <w:rsid w:val="00C75C9D"/>
    <w:rsid w:val="00C77113"/>
    <w:rsid w:val="00C811D4"/>
    <w:rsid w:val="00C8128C"/>
    <w:rsid w:val="00C8198E"/>
    <w:rsid w:val="00C82C71"/>
    <w:rsid w:val="00C82E5F"/>
    <w:rsid w:val="00C83234"/>
    <w:rsid w:val="00C8338A"/>
    <w:rsid w:val="00C84103"/>
    <w:rsid w:val="00C8567F"/>
    <w:rsid w:val="00C8572A"/>
    <w:rsid w:val="00C85BCA"/>
    <w:rsid w:val="00C8650D"/>
    <w:rsid w:val="00C8781D"/>
    <w:rsid w:val="00C87C97"/>
    <w:rsid w:val="00C87CCD"/>
    <w:rsid w:val="00C905AC"/>
    <w:rsid w:val="00C90B13"/>
    <w:rsid w:val="00C90F7A"/>
    <w:rsid w:val="00C91B3B"/>
    <w:rsid w:val="00C91CFB"/>
    <w:rsid w:val="00C91FAC"/>
    <w:rsid w:val="00C922C5"/>
    <w:rsid w:val="00C93297"/>
    <w:rsid w:val="00C93600"/>
    <w:rsid w:val="00C93DE2"/>
    <w:rsid w:val="00C941C4"/>
    <w:rsid w:val="00C94BD7"/>
    <w:rsid w:val="00C95730"/>
    <w:rsid w:val="00C95962"/>
    <w:rsid w:val="00C96FBB"/>
    <w:rsid w:val="00C96FE0"/>
    <w:rsid w:val="00C97AF1"/>
    <w:rsid w:val="00CA04E7"/>
    <w:rsid w:val="00CA077D"/>
    <w:rsid w:val="00CA09AA"/>
    <w:rsid w:val="00CA0BA6"/>
    <w:rsid w:val="00CA0CF9"/>
    <w:rsid w:val="00CA1C92"/>
    <w:rsid w:val="00CA237B"/>
    <w:rsid w:val="00CA284C"/>
    <w:rsid w:val="00CA2919"/>
    <w:rsid w:val="00CA2C56"/>
    <w:rsid w:val="00CA3315"/>
    <w:rsid w:val="00CA5DA1"/>
    <w:rsid w:val="00CA60CC"/>
    <w:rsid w:val="00CA68EC"/>
    <w:rsid w:val="00CA7692"/>
    <w:rsid w:val="00CB047F"/>
    <w:rsid w:val="00CB10AB"/>
    <w:rsid w:val="00CB11BD"/>
    <w:rsid w:val="00CB123B"/>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C0FAB"/>
    <w:rsid w:val="00CC11B5"/>
    <w:rsid w:val="00CC1E3E"/>
    <w:rsid w:val="00CC1E40"/>
    <w:rsid w:val="00CC27F5"/>
    <w:rsid w:val="00CC2965"/>
    <w:rsid w:val="00CC34EE"/>
    <w:rsid w:val="00CC3929"/>
    <w:rsid w:val="00CC4072"/>
    <w:rsid w:val="00CC5048"/>
    <w:rsid w:val="00CC5A8D"/>
    <w:rsid w:val="00CC5F39"/>
    <w:rsid w:val="00CC606C"/>
    <w:rsid w:val="00CC6B47"/>
    <w:rsid w:val="00CC71EE"/>
    <w:rsid w:val="00CC7D29"/>
    <w:rsid w:val="00CD06F6"/>
    <w:rsid w:val="00CD084C"/>
    <w:rsid w:val="00CD0974"/>
    <w:rsid w:val="00CD121B"/>
    <w:rsid w:val="00CD1DD3"/>
    <w:rsid w:val="00CD264D"/>
    <w:rsid w:val="00CD305F"/>
    <w:rsid w:val="00CD309B"/>
    <w:rsid w:val="00CD3122"/>
    <w:rsid w:val="00CD31C9"/>
    <w:rsid w:val="00CD3F09"/>
    <w:rsid w:val="00CD4436"/>
    <w:rsid w:val="00CD492B"/>
    <w:rsid w:val="00CD5C78"/>
    <w:rsid w:val="00CD5DEF"/>
    <w:rsid w:val="00CD6CDA"/>
    <w:rsid w:val="00CD7152"/>
    <w:rsid w:val="00CD7F7D"/>
    <w:rsid w:val="00CD7FA5"/>
    <w:rsid w:val="00CE0112"/>
    <w:rsid w:val="00CE03B6"/>
    <w:rsid w:val="00CE05F2"/>
    <w:rsid w:val="00CE0EF9"/>
    <w:rsid w:val="00CE1225"/>
    <w:rsid w:val="00CE18BC"/>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ED9"/>
    <w:rsid w:val="00CF35E4"/>
    <w:rsid w:val="00CF399F"/>
    <w:rsid w:val="00CF3F01"/>
    <w:rsid w:val="00CF496C"/>
    <w:rsid w:val="00CF557C"/>
    <w:rsid w:val="00CF6AF3"/>
    <w:rsid w:val="00CF75C7"/>
    <w:rsid w:val="00D01164"/>
    <w:rsid w:val="00D014A9"/>
    <w:rsid w:val="00D017EE"/>
    <w:rsid w:val="00D02369"/>
    <w:rsid w:val="00D02621"/>
    <w:rsid w:val="00D02AC8"/>
    <w:rsid w:val="00D02C36"/>
    <w:rsid w:val="00D03684"/>
    <w:rsid w:val="00D03FC3"/>
    <w:rsid w:val="00D04FC8"/>
    <w:rsid w:val="00D05A8D"/>
    <w:rsid w:val="00D05FD4"/>
    <w:rsid w:val="00D06088"/>
    <w:rsid w:val="00D065A5"/>
    <w:rsid w:val="00D0675C"/>
    <w:rsid w:val="00D06800"/>
    <w:rsid w:val="00D06BB8"/>
    <w:rsid w:val="00D06EF9"/>
    <w:rsid w:val="00D0798F"/>
    <w:rsid w:val="00D07A46"/>
    <w:rsid w:val="00D07ADD"/>
    <w:rsid w:val="00D07C95"/>
    <w:rsid w:val="00D10199"/>
    <w:rsid w:val="00D10FB7"/>
    <w:rsid w:val="00D11683"/>
    <w:rsid w:val="00D11873"/>
    <w:rsid w:val="00D1281A"/>
    <w:rsid w:val="00D12BDB"/>
    <w:rsid w:val="00D13880"/>
    <w:rsid w:val="00D14204"/>
    <w:rsid w:val="00D14F37"/>
    <w:rsid w:val="00D1624D"/>
    <w:rsid w:val="00D164BF"/>
    <w:rsid w:val="00D16A3F"/>
    <w:rsid w:val="00D20083"/>
    <w:rsid w:val="00D20E2C"/>
    <w:rsid w:val="00D217CE"/>
    <w:rsid w:val="00D22050"/>
    <w:rsid w:val="00D22D38"/>
    <w:rsid w:val="00D22EE4"/>
    <w:rsid w:val="00D231AF"/>
    <w:rsid w:val="00D23556"/>
    <w:rsid w:val="00D24DBB"/>
    <w:rsid w:val="00D25B79"/>
    <w:rsid w:val="00D26F41"/>
    <w:rsid w:val="00D27327"/>
    <w:rsid w:val="00D27695"/>
    <w:rsid w:val="00D30320"/>
    <w:rsid w:val="00D30756"/>
    <w:rsid w:val="00D31502"/>
    <w:rsid w:val="00D32B70"/>
    <w:rsid w:val="00D33313"/>
    <w:rsid w:val="00D33410"/>
    <w:rsid w:val="00D33783"/>
    <w:rsid w:val="00D33EF4"/>
    <w:rsid w:val="00D344C9"/>
    <w:rsid w:val="00D34666"/>
    <w:rsid w:val="00D34F9F"/>
    <w:rsid w:val="00D3610A"/>
    <w:rsid w:val="00D364A5"/>
    <w:rsid w:val="00D36706"/>
    <w:rsid w:val="00D367E7"/>
    <w:rsid w:val="00D40494"/>
    <w:rsid w:val="00D41054"/>
    <w:rsid w:val="00D4106F"/>
    <w:rsid w:val="00D41274"/>
    <w:rsid w:val="00D422E4"/>
    <w:rsid w:val="00D423C9"/>
    <w:rsid w:val="00D429B7"/>
    <w:rsid w:val="00D44373"/>
    <w:rsid w:val="00D44A5C"/>
    <w:rsid w:val="00D44B18"/>
    <w:rsid w:val="00D45E78"/>
    <w:rsid w:val="00D4611C"/>
    <w:rsid w:val="00D46E80"/>
    <w:rsid w:val="00D46F2D"/>
    <w:rsid w:val="00D475CC"/>
    <w:rsid w:val="00D50835"/>
    <w:rsid w:val="00D50DBE"/>
    <w:rsid w:val="00D50F95"/>
    <w:rsid w:val="00D50FEE"/>
    <w:rsid w:val="00D51017"/>
    <w:rsid w:val="00D51565"/>
    <w:rsid w:val="00D52200"/>
    <w:rsid w:val="00D52F0F"/>
    <w:rsid w:val="00D535D2"/>
    <w:rsid w:val="00D53768"/>
    <w:rsid w:val="00D54135"/>
    <w:rsid w:val="00D5456B"/>
    <w:rsid w:val="00D55044"/>
    <w:rsid w:val="00D5521C"/>
    <w:rsid w:val="00D554E6"/>
    <w:rsid w:val="00D55C37"/>
    <w:rsid w:val="00D563C2"/>
    <w:rsid w:val="00D56D08"/>
    <w:rsid w:val="00D56D65"/>
    <w:rsid w:val="00D57620"/>
    <w:rsid w:val="00D57F22"/>
    <w:rsid w:val="00D60018"/>
    <w:rsid w:val="00D60908"/>
    <w:rsid w:val="00D61292"/>
    <w:rsid w:val="00D621D2"/>
    <w:rsid w:val="00D6278F"/>
    <w:rsid w:val="00D62949"/>
    <w:rsid w:val="00D629D9"/>
    <w:rsid w:val="00D62B31"/>
    <w:rsid w:val="00D62D71"/>
    <w:rsid w:val="00D63D24"/>
    <w:rsid w:val="00D648E6"/>
    <w:rsid w:val="00D655BC"/>
    <w:rsid w:val="00D66022"/>
    <w:rsid w:val="00D66065"/>
    <w:rsid w:val="00D6670E"/>
    <w:rsid w:val="00D66FAD"/>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977"/>
    <w:rsid w:val="00D75843"/>
    <w:rsid w:val="00D75999"/>
    <w:rsid w:val="00D76E83"/>
    <w:rsid w:val="00D8036A"/>
    <w:rsid w:val="00D81307"/>
    <w:rsid w:val="00D820F3"/>
    <w:rsid w:val="00D822CA"/>
    <w:rsid w:val="00D84268"/>
    <w:rsid w:val="00D84515"/>
    <w:rsid w:val="00D84824"/>
    <w:rsid w:val="00D84E06"/>
    <w:rsid w:val="00D84F73"/>
    <w:rsid w:val="00D8666C"/>
    <w:rsid w:val="00D86B3B"/>
    <w:rsid w:val="00D876BB"/>
    <w:rsid w:val="00D8778A"/>
    <w:rsid w:val="00D87E48"/>
    <w:rsid w:val="00D90176"/>
    <w:rsid w:val="00D90446"/>
    <w:rsid w:val="00D90D31"/>
    <w:rsid w:val="00D9120D"/>
    <w:rsid w:val="00D912DF"/>
    <w:rsid w:val="00D92265"/>
    <w:rsid w:val="00D9230B"/>
    <w:rsid w:val="00D926F8"/>
    <w:rsid w:val="00D92F6C"/>
    <w:rsid w:val="00D93307"/>
    <w:rsid w:val="00D93946"/>
    <w:rsid w:val="00D93FFD"/>
    <w:rsid w:val="00D94372"/>
    <w:rsid w:val="00D9493F"/>
    <w:rsid w:val="00D94FF3"/>
    <w:rsid w:val="00D957C0"/>
    <w:rsid w:val="00D95B59"/>
    <w:rsid w:val="00D95BFF"/>
    <w:rsid w:val="00D96AF8"/>
    <w:rsid w:val="00D9700B"/>
    <w:rsid w:val="00DA019E"/>
    <w:rsid w:val="00DA0590"/>
    <w:rsid w:val="00DA0F8E"/>
    <w:rsid w:val="00DA0FC0"/>
    <w:rsid w:val="00DA1176"/>
    <w:rsid w:val="00DA12A3"/>
    <w:rsid w:val="00DA1985"/>
    <w:rsid w:val="00DA1D80"/>
    <w:rsid w:val="00DA2046"/>
    <w:rsid w:val="00DA2BCC"/>
    <w:rsid w:val="00DA30FB"/>
    <w:rsid w:val="00DA3F00"/>
    <w:rsid w:val="00DA631B"/>
    <w:rsid w:val="00DA6B8E"/>
    <w:rsid w:val="00DA7074"/>
    <w:rsid w:val="00DA727D"/>
    <w:rsid w:val="00DA773F"/>
    <w:rsid w:val="00DA7BC7"/>
    <w:rsid w:val="00DB0564"/>
    <w:rsid w:val="00DB1539"/>
    <w:rsid w:val="00DB2014"/>
    <w:rsid w:val="00DB21E6"/>
    <w:rsid w:val="00DB220E"/>
    <w:rsid w:val="00DB2369"/>
    <w:rsid w:val="00DB2559"/>
    <w:rsid w:val="00DB272C"/>
    <w:rsid w:val="00DB35C7"/>
    <w:rsid w:val="00DB39DE"/>
    <w:rsid w:val="00DB405C"/>
    <w:rsid w:val="00DB4322"/>
    <w:rsid w:val="00DB4699"/>
    <w:rsid w:val="00DB518A"/>
    <w:rsid w:val="00DB533A"/>
    <w:rsid w:val="00DB558E"/>
    <w:rsid w:val="00DB5C4A"/>
    <w:rsid w:val="00DB5D3E"/>
    <w:rsid w:val="00DB5EE5"/>
    <w:rsid w:val="00DB67D0"/>
    <w:rsid w:val="00DB68AB"/>
    <w:rsid w:val="00DB6DF3"/>
    <w:rsid w:val="00DB7507"/>
    <w:rsid w:val="00DB75E6"/>
    <w:rsid w:val="00DB7E8C"/>
    <w:rsid w:val="00DC0BF8"/>
    <w:rsid w:val="00DC0F93"/>
    <w:rsid w:val="00DC16C2"/>
    <w:rsid w:val="00DC1763"/>
    <w:rsid w:val="00DC17C6"/>
    <w:rsid w:val="00DC28A6"/>
    <w:rsid w:val="00DC3BC7"/>
    <w:rsid w:val="00DC4A29"/>
    <w:rsid w:val="00DC4B4C"/>
    <w:rsid w:val="00DC4E8D"/>
    <w:rsid w:val="00DC5A5E"/>
    <w:rsid w:val="00DC5CA9"/>
    <w:rsid w:val="00DC60E1"/>
    <w:rsid w:val="00DC6A94"/>
    <w:rsid w:val="00DC7684"/>
    <w:rsid w:val="00DC76BA"/>
    <w:rsid w:val="00DD132F"/>
    <w:rsid w:val="00DD1521"/>
    <w:rsid w:val="00DD1C2F"/>
    <w:rsid w:val="00DD1ED7"/>
    <w:rsid w:val="00DD2289"/>
    <w:rsid w:val="00DD242B"/>
    <w:rsid w:val="00DD2C54"/>
    <w:rsid w:val="00DD3430"/>
    <w:rsid w:val="00DD35A0"/>
    <w:rsid w:val="00DD6396"/>
    <w:rsid w:val="00DD6C70"/>
    <w:rsid w:val="00DD6E8E"/>
    <w:rsid w:val="00DD70C8"/>
    <w:rsid w:val="00DD7F36"/>
    <w:rsid w:val="00DE0C03"/>
    <w:rsid w:val="00DE21CF"/>
    <w:rsid w:val="00DE273A"/>
    <w:rsid w:val="00DE3E7C"/>
    <w:rsid w:val="00DE4664"/>
    <w:rsid w:val="00DE5335"/>
    <w:rsid w:val="00DE6DAE"/>
    <w:rsid w:val="00DE7550"/>
    <w:rsid w:val="00DF02EC"/>
    <w:rsid w:val="00DF098C"/>
    <w:rsid w:val="00DF1249"/>
    <w:rsid w:val="00DF24B9"/>
    <w:rsid w:val="00DF2DA0"/>
    <w:rsid w:val="00DF32AF"/>
    <w:rsid w:val="00DF3E4D"/>
    <w:rsid w:val="00DF42F3"/>
    <w:rsid w:val="00DF46CF"/>
    <w:rsid w:val="00DF4D70"/>
    <w:rsid w:val="00DF4F19"/>
    <w:rsid w:val="00DF5270"/>
    <w:rsid w:val="00DF5374"/>
    <w:rsid w:val="00DF5D97"/>
    <w:rsid w:val="00DF61E8"/>
    <w:rsid w:val="00DF621B"/>
    <w:rsid w:val="00DF6B34"/>
    <w:rsid w:val="00DF6B69"/>
    <w:rsid w:val="00E00C18"/>
    <w:rsid w:val="00E012D8"/>
    <w:rsid w:val="00E0160D"/>
    <w:rsid w:val="00E0175D"/>
    <w:rsid w:val="00E028E6"/>
    <w:rsid w:val="00E02DBD"/>
    <w:rsid w:val="00E03941"/>
    <w:rsid w:val="00E046C1"/>
    <w:rsid w:val="00E049FD"/>
    <w:rsid w:val="00E04B41"/>
    <w:rsid w:val="00E05375"/>
    <w:rsid w:val="00E054B7"/>
    <w:rsid w:val="00E05A22"/>
    <w:rsid w:val="00E05AC5"/>
    <w:rsid w:val="00E06AF4"/>
    <w:rsid w:val="00E07DFF"/>
    <w:rsid w:val="00E07E45"/>
    <w:rsid w:val="00E10043"/>
    <w:rsid w:val="00E1039A"/>
    <w:rsid w:val="00E119CF"/>
    <w:rsid w:val="00E1296E"/>
    <w:rsid w:val="00E12B11"/>
    <w:rsid w:val="00E12C4F"/>
    <w:rsid w:val="00E131BE"/>
    <w:rsid w:val="00E136EA"/>
    <w:rsid w:val="00E139D0"/>
    <w:rsid w:val="00E145E0"/>
    <w:rsid w:val="00E14911"/>
    <w:rsid w:val="00E14913"/>
    <w:rsid w:val="00E150B1"/>
    <w:rsid w:val="00E1546F"/>
    <w:rsid w:val="00E16219"/>
    <w:rsid w:val="00E168A5"/>
    <w:rsid w:val="00E175FF"/>
    <w:rsid w:val="00E176E8"/>
    <w:rsid w:val="00E17CFB"/>
    <w:rsid w:val="00E20661"/>
    <w:rsid w:val="00E209E6"/>
    <w:rsid w:val="00E20AD1"/>
    <w:rsid w:val="00E216A5"/>
    <w:rsid w:val="00E21F98"/>
    <w:rsid w:val="00E222AC"/>
    <w:rsid w:val="00E224C9"/>
    <w:rsid w:val="00E229F7"/>
    <w:rsid w:val="00E22EE3"/>
    <w:rsid w:val="00E23416"/>
    <w:rsid w:val="00E2391F"/>
    <w:rsid w:val="00E242E6"/>
    <w:rsid w:val="00E24E3D"/>
    <w:rsid w:val="00E250DB"/>
    <w:rsid w:val="00E2596F"/>
    <w:rsid w:val="00E263E4"/>
    <w:rsid w:val="00E30155"/>
    <w:rsid w:val="00E3069F"/>
    <w:rsid w:val="00E306A2"/>
    <w:rsid w:val="00E3116C"/>
    <w:rsid w:val="00E31521"/>
    <w:rsid w:val="00E316C4"/>
    <w:rsid w:val="00E32964"/>
    <w:rsid w:val="00E32E0E"/>
    <w:rsid w:val="00E32F08"/>
    <w:rsid w:val="00E33222"/>
    <w:rsid w:val="00E33802"/>
    <w:rsid w:val="00E33814"/>
    <w:rsid w:val="00E33D97"/>
    <w:rsid w:val="00E345F5"/>
    <w:rsid w:val="00E3582D"/>
    <w:rsid w:val="00E35AC6"/>
    <w:rsid w:val="00E35F47"/>
    <w:rsid w:val="00E36306"/>
    <w:rsid w:val="00E36C4E"/>
    <w:rsid w:val="00E377BF"/>
    <w:rsid w:val="00E379BC"/>
    <w:rsid w:val="00E40E0C"/>
    <w:rsid w:val="00E42CC0"/>
    <w:rsid w:val="00E42FB4"/>
    <w:rsid w:val="00E441CF"/>
    <w:rsid w:val="00E44409"/>
    <w:rsid w:val="00E4455B"/>
    <w:rsid w:val="00E446BF"/>
    <w:rsid w:val="00E44ECD"/>
    <w:rsid w:val="00E45136"/>
    <w:rsid w:val="00E452D0"/>
    <w:rsid w:val="00E45A9D"/>
    <w:rsid w:val="00E45B6C"/>
    <w:rsid w:val="00E45DC1"/>
    <w:rsid w:val="00E460A1"/>
    <w:rsid w:val="00E467AB"/>
    <w:rsid w:val="00E47284"/>
    <w:rsid w:val="00E47BD9"/>
    <w:rsid w:val="00E47FBB"/>
    <w:rsid w:val="00E5141B"/>
    <w:rsid w:val="00E515A3"/>
    <w:rsid w:val="00E517D0"/>
    <w:rsid w:val="00E52F76"/>
    <w:rsid w:val="00E5413F"/>
    <w:rsid w:val="00E541D0"/>
    <w:rsid w:val="00E543CA"/>
    <w:rsid w:val="00E54EC5"/>
    <w:rsid w:val="00E55335"/>
    <w:rsid w:val="00E55D2A"/>
    <w:rsid w:val="00E57FA4"/>
    <w:rsid w:val="00E60ADA"/>
    <w:rsid w:val="00E61C29"/>
    <w:rsid w:val="00E624D8"/>
    <w:rsid w:val="00E63DB3"/>
    <w:rsid w:val="00E63F2E"/>
    <w:rsid w:val="00E645DC"/>
    <w:rsid w:val="00E65967"/>
    <w:rsid w:val="00E65EF0"/>
    <w:rsid w:val="00E668E2"/>
    <w:rsid w:val="00E6767F"/>
    <w:rsid w:val="00E67F22"/>
    <w:rsid w:val="00E705E5"/>
    <w:rsid w:val="00E70B0C"/>
    <w:rsid w:val="00E713AC"/>
    <w:rsid w:val="00E71EFF"/>
    <w:rsid w:val="00E72246"/>
    <w:rsid w:val="00E722AC"/>
    <w:rsid w:val="00E723D3"/>
    <w:rsid w:val="00E725B6"/>
    <w:rsid w:val="00E73E01"/>
    <w:rsid w:val="00E745BF"/>
    <w:rsid w:val="00E74697"/>
    <w:rsid w:val="00E74F1D"/>
    <w:rsid w:val="00E758C0"/>
    <w:rsid w:val="00E763A8"/>
    <w:rsid w:val="00E765F5"/>
    <w:rsid w:val="00E82560"/>
    <w:rsid w:val="00E825E3"/>
    <w:rsid w:val="00E828B0"/>
    <w:rsid w:val="00E83280"/>
    <w:rsid w:val="00E832C9"/>
    <w:rsid w:val="00E833B2"/>
    <w:rsid w:val="00E8348E"/>
    <w:rsid w:val="00E83C3A"/>
    <w:rsid w:val="00E83D39"/>
    <w:rsid w:val="00E83E6E"/>
    <w:rsid w:val="00E83EA9"/>
    <w:rsid w:val="00E84279"/>
    <w:rsid w:val="00E85483"/>
    <w:rsid w:val="00E85515"/>
    <w:rsid w:val="00E8554D"/>
    <w:rsid w:val="00E85D85"/>
    <w:rsid w:val="00E85FB9"/>
    <w:rsid w:val="00E86072"/>
    <w:rsid w:val="00E86752"/>
    <w:rsid w:val="00E86D0D"/>
    <w:rsid w:val="00E873F1"/>
    <w:rsid w:val="00E87AE6"/>
    <w:rsid w:val="00E904A1"/>
    <w:rsid w:val="00E90FE7"/>
    <w:rsid w:val="00E91BF2"/>
    <w:rsid w:val="00E91E5F"/>
    <w:rsid w:val="00E91EAA"/>
    <w:rsid w:val="00E92BD8"/>
    <w:rsid w:val="00E92F0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214"/>
    <w:rsid w:val="00EA0281"/>
    <w:rsid w:val="00EA0BD3"/>
    <w:rsid w:val="00EA0BFA"/>
    <w:rsid w:val="00EA0CA7"/>
    <w:rsid w:val="00EA0E05"/>
    <w:rsid w:val="00EA0EFC"/>
    <w:rsid w:val="00EA12D3"/>
    <w:rsid w:val="00EA20F1"/>
    <w:rsid w:val="00EA2730"/>
    <w:rsid w:val="00EA42BA"/>
    <w:rsid w:val="00EA4F96"/>
    <w:rsid w:val="00EA531A"/>
    <w:rsid w:val="00EA589B"/>
    <w:rsid w:val="00EA7499"/>
    <w:rsid w:val="00EA74E3"/>
    <w:rsid w:val="00EA7744"/>
    <w:rsid w:val="00EB178A"/>
    <w:rsid w:val="00EB2435"/>
    <w:rsid w:val="00EB2502"/>
    <w:rsid w:val="00EB3027"/>
    <w:rsid w:val="00EB306C"/>
    <w:rsid w:val="00EB313A"/>
    <w:rsid w:val="00EB3495"/>
    <w:rsid w:val="00EB534C"/>
    <w:rsid w:val="00EB5E7D"/>
    <w:rsid w:val="00EB688D"/>
    <w:rsid w:val="00EB7124"/>
    <w:rsid w:val="00EB74DD"/>
    <w:rsid w:val="00EB7E4D"/>
    <w:rsid w:val="00EC0B57"/>
    <w:rsid w:val="00EC12C0"/>
    <w:rsid w:val="00EC142C"/>
    <w:rsid w:val="00EC16D0"/>
    <w:rsid w:val="00EC2B11"/>
    <w:rsid w:val="00EC2FEB"/>
    <w:rsid w:val="00EC36C9"/>
    <w:rsid w:val="00EC36DD"/>
    <w:rsid w:val="00EC39A2"/>
    <w:rsid w:val="00EC4B61"/>
    <w:rsid w:val="00EC555C"/>
    <w:rsid w:val="00EC60C0"/>
    <w:rsid w:val="00EC6337"/>
    <w:rsid w:val="00EC7326"/>
    <w:rsid w:val="00ED0DE8"/>
    <w:rsid w:val="00ED0FAF"/>
    <w:rsid w:val="00ED0FB6"/>
    <w:rsid w:val="00ED19F8"/>
    <w:rsid w:val="00ED3068"/>
    <w:rsid w:val="00ED3534"/>
    <w:rsid w:val="00ED3B7D"/>
    <w:rsid w:val="00ED6435"/>
    <w:rsid w:val="00ED6CAC"/>
    <w:rsid w:val="00ED73A4"/>
    <w:rsid w:val="00ED77D6"/>
    <w:rsid w:val="00EE0A49"/>
    <w:rsid w:val="00EE0C8D"/>
    <w:rsid w:val="00EE1061"/>
    <w:rsid w:val="00EE14FE"/>
    <w:rsid w:val="00EE15CA"/>
    <w:rsid w:val="00EE18BB"/>
    <w:rsid w:val="00EE1CDA"/>
    <w:rsid w:val="00EE211B"/>
    <w:rsid w:val="00EE24B7"/>
    <w:rsid w:val="00EE2759"/>
    <w:rsid w:val="00EE2AAB"/>
    <w:rsid w:val="00EE3354"/>
    <w:rsid w:val="00EE3A54"/>
    <w:rsid w:val="00EE459C"/>
    <w:rsid w:val="00EE62B4"/>
    <w:rsid w:val="00EF0E50"/>
    <w:rsid w:val="00EF1FE3"/>
    <w:rsid w:val="00EF20FD"/>
    <w:rsid w:val="00EF220D"/>
    <w:rsid w:val="00EF2337"/>
    <w:rsid w:val="00EF2439"/>
    <w:rsid w:val="00EF3A4A"/>
    <w:rsid w:val="00EF3B82"/>
    <w:rsid w:val="00EF3D43"/>
    <w:rsid w:val="00EF493B"/>
    <w:rsid w:val="00EF4F32"/>
    <w:rsid w:val="00EF6848"/>
    <w:rsid w:val="00EF754B"/>
    <w:rsid w:val="00EF7CE1"/>
    <w:rsid w:val="00F000F0"/>
    <w:rsid w:val="00F00122"/>
    <w:rsid w:val="00F00923"/>
    <w:rsid w:val="00F009F4"/>
    <w:rsid w:val="00F00C9D"/>
    <w:rsid w:val="00F01090"/>
    <w:rsid w:val="00F01A06"/>
    <w:rsid w:val="00F01A58"/>
    <w:rsid w:val="00F023A1"/>
    <w:rsid w:val="00F0301D"/>
    <w:rsid w:val="00F03891"/>
    <w:rsid w:val="00F046B1"/>
    <w:rsid w:val="00F04CF6"/>
    <w:rsid w:val="00F04ED5"/>
    <w:rsid w:val="00F05BA0"/>
    <w:rsid w:val="00F05EED"/>
    <w:rsid w:val="00F062B0"/>
    <w:rsid w:val="00F06F02"/>
    <w:rsid w:val="00F077C0"/>
    <w:rsid w:val="00F0783A"/>
    <w:rsid w:val="00F07C4E"/>
    <w:rsid w:val="00F14351"/>
    <w:rsid w:val="00F15744"/>
    <w:rsid w:val="00F15A4F"/>
    <w:rsid w:val="00F165FE"/>
    <w:rsid w:val="00F16BB1"/>
    <w:rsid w:val="00F20046"/>
    <w:rsid w:val="00F206FE"/>
    <w:rsid w:val="00F209E0"/>
    <w:rsid w:val="00F20EE3"/>
    <w:rsid w:val="00F21048"/>
    <w:rsid w:val="00F2112D"/>
    <w:rsid w:val="00F21654"/>
    <w:rsid w:val="00F218EF"/>
    <w:rsid w:val="00F21EC3"/>
    <w:rsid w:val="00F23178"/>
    <w:rsid w:val="00F2357F"/>
    <w:rsid w:val="00F243AF"/>
    <w:rsid w:val="00F24A57"/>
    <w:rsid w:val="00F24F4D"/>
    <w:rsid w:val="00F25139"/>
    <w:rsid w:val="00F25166"/>
    <w:rsid w:val="00F2566F"/>
    <w:rsid w:val="00F2617C"/>
    <w:rsid w:val="00F2643A"/>
    <w:rsid w:val="00F2699C"/>
    <w:rsid w:val="00F269CD"/>
    <w:rsid w:val="00F26CE7"/>
    <w:rsid w:val="00F26FA1"/>
    <w:rsid w:val="00F276A4"/>
    <w:rsid w:val="00F2795E"/>
    <w:rsid w:val="00F27C52"/>
    <w:rsid w:val="00F3002F"/>
    <w:rsid w:val="00F301EB"/>
    <w:rsid w:val="00F304B5"/>
    <w:rsid w:val="00F30894"/>
    <w:rsid w:val="00F31234"/>
    <w:rsid w:val="00F3250F"/>
    <w:rsid w:val="00F328BD"/>
    <w:rsid w:val="00F33655"/>
    <w:rsid w:val="00F3383E"/>
    <w:rsid w:val="00F346BC"/>
    <w:rsid w:val="00F3471B"/>
    <w:rsid w:val="00F3521B"/>
    <w:rsid w:val="00F35561"/>
    <w:rsid w:val="00F35865"/>
    <w:rsid w:val="00F36DC1"/>
    <w:rsid w:val="00F37702"/>
    <w:rsid w:val="00F37922"/>
    <w:rsid w:val="00F40036"/>
    <w:rsid w:val="00F41605"/>
    <w:rsid w:val="00F41F9B"/>
    <w:rsid w:val="00F42049"/>
    <w:rsid w:val="00F4240E"/>
    <w:rsid w:val="00F42C2B"/>
    <w:rsid w:val="00F4355A"/>
    <w:rsid w:val="00F43F18"/>
    <w:rsid w:val="00F4406A"/>
    <w:rsid w:val="00F44100"/>
    <w:rsid w:val="00F44129"/>
    <w:rsid w:val="00F44833"/>
    <w:rsid w:val="00F44D63"/>
    <w:rsid w:val="00F45003"/>
    <w:rsid w:val="00F45692"/>
    <w:rsid w:val="00F463BD"/>
    <w:rsid w:val="00F46A01"/>
    <w:rsid w:val="00F47AFE"/>
    <w:rsid w:val="00F47DF9"/>
    <w:rsid w:val="00F50020"/>
    <w:rsid w:val="00F50849"/>
    <w:rsid w:val="00F50F51"/>
    <w:rsid w:val="00F51318"/>
    <w:rsid w:val="00F51929"/>
    <w:rsid w:val="00F523A6"/>
    <w:rsid w:val="00F52631"/>
    <w:rsid w:val="00F52A4B"/>
    <w:rsid w:val="00F533DB"/>
    <w:rsid w:val="00F5376A"/>
    <w:rsid w:val="00F53E2D"/>
    <w:rsid w:val="00F542D8"/>
    <w:rsid w:val="00F548C8"/>
    <w:rsid w:val="00F54986"/>
    <w:rsid w:val="00F55A3B"/>
    <w:rsid w:val="00F563B2"/>
    <w:rsid w:val="00F56848"/>
    <w:rsid w:val="00F56FA3"/>
    <w:rsid w:val="00F5765A"/>
    <w:rsid w:val="00F57A26"/>
    <w:rsid w:val="00F57A55"/>
    <w:rsid w:val="00F57C72"/>
    <w:rsid w:val="00F60802"/>
    <w:rsid w:val="00F61564"/>
    <w:rsid w:val="00F6190D"/>
    <w:rsid w:val="00F61D1B"/>
    <w:rsid w:val="00F61FDE"/>
    <w:rsid w:val="00F62BB8"/>
    <w:rsid w:val="00F63DE6"/>
    <w:rsid w:val="00F64966"/>
    <w:rsid w:val="00F661A3"/>
    <w:rsid w:val="00F66544"/>
    <w:rsid w:val="00F669E3"/>
    <w:rsid w:val="00F670C3"/>
    <w:rsid w:val="00F67219"/>
    <w:rsid w:val="00F675AE"/>
    <w:rsid w:val="00F70225"/>
    <w:rsid w:val="00F703C3"/>
    <w:rsid w:val="00F703EE"/>
    <w:rsid w:val="00F71985"/>
    <w:rsid w:val="00F71F79"/>
    <w:rsid w:val="00F721A1"/>
    <w:rsid w:val="00F724E3"/>
    <w:rsid w:val="00F72654"/>
    <w:rsid w:val="00F72E2E"/>
    <w:rsid w:val="00F74491"/>
    <w:rsid w:val="00F74A7A"/>
    <w:rsid w:val="00F75AE8"/>
    <w:rsid w:val="00F75B83"/>
    <w:rsid w:val="00F7625A"/>
    <w:rsid w:val="00F76408"/>
    <w:rsid w:val="00F77029"/>
    <w:rsid w:val="00F77CFA"/>
    <w:rsid w:val="00F80D8F"/>
    <w:rsid w:val="00F80E30"/>
    <w:rsid w:val="00F81E4A"/>
    <w:rsid w:val="00F81F25"/>
    <w:rsid w:val="00F82A4B"/>
    <w:rsid w:val="00F837DD"/>
    <w:rsid w:val="00F83CC5"/>
    <w:rsid w:val="00F843E3"/>
    <w:rsid w:val="00F849D0"/>
    <w:rsid w:val="00F849D7"/>
    <w:rsid w:val="00F84A2F"/>
    <w:rsid w:val="00F84A9B"/>
    <w:rsid w:val="00F84B23"/>
    <w:rsid w:val="00F850EB"/>
    <w:rsid w:val="00F85744"/>
    <w:rsid w:val="00F85A95"/>
    <w:rsid w:val="00F86193"/>
    <w:rsid w:val="00F869AA"/>
    <w:rsid w:val="00F86C4D"/>
    <w:rsid w:val="00F90391"/>
    <w:rsid w:val="00F9046C"/>
    <w:rsid w:val="00F90C86"/>
    <w:rsid w:val="00F90E2A"/>
    <w:rsid w:val="00F915AB"/>
    <w:rsid w:val="00F918AE"/>
    <w:rsid w:val="00F91DAC"/>
    <w:rsid w:val="00F92174"/>
    <w:rsid w:val="00F94683"/>
    <w:rsid w:val="00F9495D"/>
    <w:rsid w:val="00F94C7E"/>
    <w:rsid w:val="00F95013"/>
    <w:rsid w:val="00F9529E"/>
    <w:rsid w:val="00F95663"/>
    <w:rsid w:val="00F9597B"/>
    <w:rsid w:val="00F9632D"/>
    <w:rsid w:val="00F9650D"/>
    <w:rsid w:val="00F967D4"/>
    <w:rsid w:val="00F97645"/>
    <w:rsid w:val="00F976DD"/>
    <w:rsid w:val="00F9794E"/>
    <w:rsid w:val="00F97B15"/>
    <w:rsid w:val="00FA0509"/>
    <w:rsid w:val="00FA0E7C"/>
    <w:rsid w:val="00FA1D8F"/>
    <w:rsid w:val="00FA1E61"/>
    <w:rsid w:val="00FA2FA0"/>
    <w:rsid w:val="00FA35AF"/>
    <w:rsid w:val="00FA53C1"/>
    <w:rsid w:val="00FA5871"/>
    <w:rsid w:val="00FA6225"/>
    <w:rsid w:val="00FA6686"/>
    <w:rsid w:val="00FA6BCC"/>
    <w:rsid w:val="00FA79A3"/>
    <w:rsid w:val="00FA7AA6"/>
    <w:rsid w:val="00FA7B16"/>
    <w:rsid w:val="00FA7BA0"/>
    <w:rsid w:val="00FA7C04"/>
    <w:rsid w:val="00FB035D"/>
    <w:rsid w:val="00FB0443"/>
    <w:rsid w:val="00FB16B3"/>
    <w:rsid w:val="00FB18E8"/>
    <w:rsid w:val="00FB1CBB"/>
    <w:rsid w:val="00FB22E5"/>
    <w:rsid w:val="00FB2312"/>
    <w:rsid w:val="00FB27DF"/>
    <w:rsid w:val="00FB2E86"/>
    <w:rsid w:val="00FB2F94"/>
    <w:rsid w:val="00FB35B8"/>
    <w:rsid w:val="00FB3CD6"/>
    <w:rsid w:val="00FB43D4"/>
    <w:rsid w:val="00FB46A4"/>
    <w:rsid w:val="00FB52FD"/>
    <w:rsid w:val="00FB5689"/>
    <w:rsid w:val="00FB6D13"/>
    <w:rsid w:val="00FB7340"/>
    <w:rsid w:val="00FB7724"/>
    <w:rsid w:val="00FB7B15"/>
    <w:rsid w:val="00FB7B5D"/>
    <w:rsid w:val="00FC1530"/>
    <w:rsid w:val="00FC1859"/>
    <w:rsid w:val="00FC2100"/>
    <w:rsid w:val="00FC2742"/>
    <w:rsid w:val="00FC2D17"/>
    <w:rsid w:val="00FC35B0"/>
    <w:rsid w:val="00FC3BBC"/>
    <w:rsid w:val="00FC3EEB"/>
    <w:rsid w:val="00FC4A6E"/>
    <w:rsid w:val="00FC4D5C"/>
    <w:rsid w:val="00FC553E"/>
    <w:rsid w:val="00FC65A0"/>
    <w:rsid w:val="00FD0386"/>
    <w:rsid w:val="00FD04EB"/>
    <w:rsid w:val="00FD10D2"/>
    <w:rsid w:val="00FD22B6"/>
    <w:rsid w:val="00FD2475"/>
    <w:rsid w:val="00FD2751"/>
    <w:rsid w:val="00FD282A"/>
    <w:rsid w:val="00FD2A71"/>
    <w:rsid w:val="00FD3822"/>
    <w:rsid w:val="00FD45CD"/>
    <w:rsid w:val="00FD4CC0"/>
    <w:rsid w:val="00FD4EEA"/>
    <w:rsid w:val="00FD5AFC"/>
    <w:rsid w:val="00FD618D"/>
    <w:rsid w:val="00FD6A3D"/>
    <w:rsid w:val="00FD6BB9"/>
    <w:rsid w:val="00FD6F42"/>
    <w:rsid w:val="00FD7313"/>
    <w:rsid w:val="00FE098B"/>
    <w:rsid w:val="00FE0C6B"/>
    <w:rsid w:val="00FE22FE"/>
    <w:rsid w:val="00FE23E2"/>
    <w:rsid w:val="00FE3DA5"/>
    <w:rsid w:val="00FE460F"/>
    <w:rsid w:val="00FE4930"/>
    <w:rsid w:val="00FE4E61"/>
    <w:rsid w:val="00FE5B8D"/>
    <w:rsid w:val="00FE6FE5"/>
    <w:rsid w:val="00FE74FC"/>
    <w:rsid w:val="00FE761D"/>
    <w:rsid w:val="00FE76FA"/>
    <w:rsid w:val="00FE7A0A"/>
    <w:rsid w:val="00FE7A4E"/>
    <w:rsid w:val="00FE7B7C"/>
    <w:rsid w:val="00FF01C5"/>
    <w:rsid w:val="00FF07F7"/>
    <w:rsid w:val="00FF1716"/>
    <w:rsid w:val="00FF2A88"/>
    <w:rsid w:val="00FF2F92"/>
    <w:rsid w:val="00FF51D0"/>
    <w:rsid w:val="00FF52CC"/>
    <w:rsid w:val="00FF5929"/>
    <w:rsid w:val="00FF6227"/>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link w:val="ListParagraphChar"/>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0F7B94"/>
    <w:rPr>
      <w:color w:val="808080"/>
    </w:rPr>
  </w:style>
  <w:style w:type="character" w:customStyle="1" w:styleId="Doc-text2Char">
    <w:name w:val="Doc-text2 Char"/>
    <w:basedOn w:val="DefaultParagraphFont"/>
    <w:link w:val="Doc-text2"/>
    <w:locked/>
    <w:rsid w:val="00B3543A"/>
    <w:rPr>
      <w:rFonts w:ascii="Arial" w:hAnsi="Arial" w:cs="Arial"/>
      <w:lang w:eastAsia="en-GB"/>
    </w:rPr>
  </w:style>
  <w:style w:type="paragraph" w:customStyle="1" w:styleId="Doc-text2">
    <w:name w:val="Doc-text2"/>
    <w:basedOn w:val="Normal"/>
    <w:link w:val="Doc-text2Char"/>
    <w:rsid w:val="00B3543A"/>
    <w:pPr>
      <w:overflowPunct/>
      <w:autoSpaceDE/>
      <w:autoSpaceDN/>
      <w:adjustRightInd/>
      <w:spacing w:after="0"/>
      <w:ind w:left="1622" w:hanging="363"/>
      <w:textAlignment w:val="auto"/>
    </w:pPr>
    <w:rPr>
      <w:rFonts w:ascii="Arial" w:hAnsi="Arial" w:cs="Arial"/>
      <w:lang w:eastAsia="en-GB"/>
    </w:rPr>
  </w:style>
  <w:style w:type="character" w:customStyle="1" w:styleId="ListParagraphChar">
    <w:name w:val="List Paragraph Char"/>
    <w:link w:val="ListParagraph"/>
    <w:uiPriority w:val="34"/>
    <w:qFormat/>
    <w:rsid w:val="005F5B3F"/>
    <w:rPr>
      <w:rFonts w:ascii="Times New Roman" w:eastAsia="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52666976">
      <w:bodyDiv w:val="1"/>
      <w:marLeft w:val="0"/>
      <w:marRight w:val="0"/>
      <w:marTop w:val="0"/>
      <w:marBottom w:val="0"/>
      <w:divBdr>
        <w:top w:val="none" w:sz="0" w:space="0" w:color="auto"/>
        <w:left w:val="none" w:sz="0" w:space="0" w:color="auto"/>
        <w:bottom w:val="none" w:sz="0" w:space="0" w:color="auto"/>
        <w:right w:val="none" w:sz="0" w:space="0" w:color="auto"/>
      </w:divBdr>
    </w:div>
    <w:div w:id="415202448">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85717263">
      <w:bodyDiv w:val="1"/>
      <w:marLeft w:val="0"/>
      <w:marRight w:val="0"/>
      <w:marTop w:val="0"/>
      <w:marBottom w:val="0"/>
      <w:divBdr>
        <w:top w:val="none" w:sz="0" w:space="0" w:color="auto"/>
        <w:left w:val="none" w:sz="0" w:space="0" w:color="auto"/>
        <w:bottom w:val="none" w:sz="0" w:space="0" w:color="auto"/>
        <w:right w:val="none" w:sz="0" w:space="0" w:color="auto"/>
      </w:divBdr>
      <w:divsChild>
        <w:div w:id="206188985">
          <w:marLeft w:val="720"/>
          <w:marRight w:val="0"/>
          <w:marTop w:val="0"/>
          <w:marBottom w:val="0"/>
          <w:divBdr>
            <w:top w:val="none" w:sz="0" w:space="0" w:color="auto"/>
            <w:left w:val="none" w:sz="0" w:space="0" w:color="auto"/>
            <w:bottom w:val="none" w:sz="0" w:space="0" w:color="auto"/>
            <w:right w:val="none" w:sz="0" w:space="0" w:color="auto"/>
          </w:divBdr>
        </w:div>
        <w:div w:id="1945795651">
          <w:marLeft w:val="720"/>
          <w:marRight w:val="0"/>
          <w:marTop w:val="0"/>
          <w:marBottom w:val="0"/>
          <w:divBdr>
            <w:top w:val="none" w:sz="0" w:space="0" w:color="auto"/>
            <w:left w:val="none" w:sz="0" w:space="0" w:color="auto"/>
            <w:bottom w:val="none" w:sz="0" w:space="0" w:color="auto"/>
            <w:right w:val="none" w:sz="0" w:space="0" w:color="auto"/>
          </w:divBdr>
        </w:div>
        <w:div w:id="1450508673">
          <w:marLeft w:val="720"/>
          <w:marRight w:val="0"/>
          <w:marTop w:val="0"/>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037000413">
      <w:bodyDiv w:val="1"/>
      <w:marLeft w:val="0"/>
      <w:marRight w:val="0"/>
      <w:marTop w:val="0"/>
      <w:marBottom w:val="0"/>
      <w:divBdr>
        <w:top w:val="none" w:sz="0" w:space="0" w:color="auto"/>
        <w:left w:val="none" w:sz="0" w:space="0" w:color="auto"/>
        <w:bottom w:val="none" w:sz="0" w:space="0" w:color="auto"/>
        <w:right w:val="none" w:sz="0" w:space="0" w:color="auto"/>
      </w:divBdr>
    </w:div>
    <w:div w:id="1091197477">
      <w:bodyDiv w:val="1"/>
      <w:marLeft w:val="0"/>
      <w:marRight w:val="0"/>
      <w:marTop w:val="0"/>
      <w:marBottom w:val="0"/>
      <w:divBdr>
        <w:top w:val="none" w:sz="0" w:space="0" w:color="auto"/>
        <w:left w:val="none" w:sz="0" w:space="0" w:color="auto"/>
        <w:bottom w:val="none" w:sz="0" w:space="0" w:color="auto"/>
        <w:right w:val="none" w:sz="0" w:space="0" w:color="auto"/>
      </w:divBdr>
      <w:divsChild>
        <w:div w:id="2042827260">
          <w:marLeft w:val="720"/>
          <w:marRight w:val="0"/>
          <w:marTop w:val="0"/>
          <w:marBottom w:val="0"/>
          <w:divBdr>
            <w:top w:val="none" w:sz="0" w:space="0" w:color="auto"/>
            <w:left w:val="none" w:sz="0" w:space="0" w:color="auto"/>
            <w:bottom w:val="none" w:sz="0" w:space="0" w:color="auto"/>
            <w:right w:val="none" w:sz="0" w:space="0" w:color="auto"/>
          </w:divBdr>
        </w:div>
        <w:div w:id="761073900">
          <w:marLeft w:val="72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076126">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44896585">
      <w:bodyDiv w:val="1"/>
      <w:marLeft w:val="0"/>
      <w:marRight w:val="0"/>
      <w:marTop w:val="0"/>
      <w:marBottom w:val="0"/>
      <w:divBdr>
        <w:top w:val="none" w:sz="0" w:space="0" w:color="auto"/>
        <w:left w:val="none" w:sz="0" w:space="0" w:color="auto"/>
        <w:bottom w:val="none" w:sz="0" w:space="0" w:color="auto"/>
        <w:right w:val="none" w:sz="0" w:space="0" w:color="auto"/>
      </w:divBdr>
    </w:div>
    <w:div w:id="1349212767">
      <w:bodyDiv w:val="1"/>
      <w:marLeft w:val="0"/>
      <w:marRight w:val="0"/>
      <w:marTop w:val="0"/>
      <w:marBottom w:val="0"/>
      <w:divBdr>
        <w:top w:val="none" w:sz="0" w:space="0" w:color="auto"/>
        <w:left w:val="none" w:sz="0" w:space="0" w:color="auto"/>
        <w:bottom w:val="none" w:sz="0" w:space="0" w:color="auto"/>
        <w:right w:val="none" w:sz="0" w:space="0" w:color="auto"/>
      </w:divBdr>
      <w:divsChild>
        <w:div w:id="2025280200">
          <w:marLeft w:val="547"/>
          <w:marRight w:val="0"/>
          <w:marTop w:val="115"/>
          <w:marBottom w:val="0"/>
          <w:divBdr>
            <w:top w:val="none" w:sz="0" w:space="0" w:color="auto"/>
            <w:left w:val="none" w:sz="0" w:space="0" w:color="auto"/>
            <w:bottom w:val="none" w:sz="0" w:space="0" w:color="auto"/>
            <w:right w:val="none" w:sz="0" w:space="0" w:color="auto"/>
          </w:divBdr>
        </w:div>
        <w:div w:id="1035157334">
          <w:marLeft w:val="1166"/>
          <w:marRight w:val="0"/>
          <w:marTop w:val="96"/>
          <w:marBottom w:val="0"/>
          <w:divBdr>
            <w:top w:val="none" w:sz="0" w:space="0" w:color="auto"/>
            <w:left w:val="none" w:sz="0" w:space="0" w:color="auto"/>
            <w:bottom w:val="none" w:sz="0" w:space="0" w:color="auto"/>
            <w:right w:val="none" w:sz="0" w:space="0" w:color="auto"/>
          </w:divBdr>
        </w:div>
        <w:div w:id="724913124">
          <w:marLeft w:val="1166"/>
          <w:marRight w:val="0"/>
          <w:marTop w:val="96"/>
          <w:marBottom w:val="0"/>
          <w:divBdr>
            <w:top w:val="none" w:sz="0" w:space="0" w:color="auto"/>
            <w:left w:val="none" w:sz="0" w:space="0" w:color="auto"/>
            <w:bottom w:val="none" w:sz="0" w:space="0" w:color="auto"/>
            <w:right w:val="none" w:sz="0" w:space="0" w:color="auto"/>
          </w:divBdr>
        </w:div>
        <w:div w:id="1836190803">
          <w:marLeft w:val="1627"/>
          <w:marRight w:val="0"/>
          <w:marTop w:val="86"/>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33042831">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764296172">
      <w:bodyDiv w:val="1"/>
      <w:marLeft w:val="0"/>
      <w:marRight w:val="0"/>
      <w:marTop w:val="0"/>
      <w:marBottom w:val="0"/>
      <w:divBdr>
        <w:top w:val="none" w:sz="0" w:space="0" w:color="auto"/>
        <w:left w:val="none" w:sz="0" w:space="0" w:color="auto"/>
        <w:bottom w:val="none" w:sz="0" w:space="0" w:color="auto"/>
        <w:right w:val="none" w:sz="0" w:space="0" w:color="auto"/>
      </w:divBdr>
    </w:div>
    <w:div w:id="1778404149">
      <w:bodyDiv w:val="1"/>
      <w:marLeft w:val="0"/>
      <w:marRight w:val="0"/>
      <w:marTop w:val="0"/>
      <w:marBottom w:val="0"/>
      <w:divBdr>
        <w:top w:val="none" w:sz="0" w:space="0" w:color="auto"/>
        <w:left w:val="none" w:sz="0" w:space="0" w:color="auto"/>
        <w:bottom w:val="none" w:sz="0" w:space="0" w:color="auto"/>
        <w:right w:val="none" w:sz="0" w:space="0" w:color="auto"/>
      </w:divBdr>
      <w:divsChild>
        <w:div w:id="1355694671">
          <w:marLeft w:val="547"/>
          <w:marRight w:val="0"/>
          <w:marTop w:val="96"/>
          <w:marBottom w:val="0"/>
          <w:divBdr>
            <w:top w:val="none" w:sz="0" w:space="0" w:color="auto"/>
            <w:left w:val="none" w:sz="0" w:space="0" w:color="auto"/>
            <w:bottom w:val="none" w:sz="0" w:space="0" w:color="auto"/>
            <w:right w:val="none" w:sz="0" w:space="0" w:color="auto"/>
          </w:divBdr>
        </w:div>
        <w:div w:id="836648394">
          <w:marLeft w:val="1166"/>
          <w:marRight w:val="0"/>
          <w:marTop w:val="96"/>
          <w:marBottom w:val="0"/>
          <w:divBdr>
            <w:top w:val="none" w:sz="0" w:space="0" w:color="auto"/>
            <w:left w:val="none" w:sz="0" w:space="0" w:color="auto"/>
            <w:bottom w:val="none" w:sz="0" w:space="0" w:color="auto"/>
            <w:right w:val="none" w:sz="0" w:space="0" w:color="auto"/>
          </w:divBdr>
        </w:div>
        <w:div w:id="1823539382">
          <w:marLeft w:val="1166"/>
          <w:marRight w:val="0"/>
          <w:marTop w:val="96"/>
          <w:marBottom w:val="0"/>
          <w:divBdr>
            <w:top w:val="none" w:sz="0" w:space="0" w:color="auto"/>
            <w:left w:val="none" w:sz="0" w:space="0" w:color="auto"/>
            <w:bottom w:val="none" w:sz="0" w:space="0" w:color="auto"/>
            <w:right w:val="none" w:sz="0" w:space="0" w:color="auto"/>
          </w:divBdr>
        </w:div>
        <w:div w:id="1619288557">
          <w:marLeft w:val="1166"/>
          <w:marRight w:val="0"/>
          <w:marTop w:val="96"/>
          <w:marBottom w:val="0"/>
          <w:divBdr>
            <w:top w:val="none" w:sz="0" w:space="0" w:color="auto"/>
            <w:left w:val="none" w:sz="0" w:space="0" w:color="auto"/>
            <w:bottom w:val="none" w:sz="0" w:space="0" w:color="auto"/>
            <w:right w:val="none" w:sz="0" w:space="0" w:color="auto"/>
          </w:divBdr>
        </w:div>
        <w:div w:id="1490053470">
          <w:marLeft w:val="1166"/>
          <w:marRight w:val="0"/>
          <w:marTop w:val="96"/>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3191067">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HR33RHYHUWRF-4-1710</_dlc_DocId>
    <_dlc_DocIdUrl xmlns="c06861ca-3f08-4d07-bff7-bb15bac121f4">
      <Url>https://projects.qualcomm.com/sites/pentari/_layouts/15/DocIdRedir.aspx?ID=HR33RHYHUWRF-4-1710</Url>
      <Description>HR33RHYHUWRF-4-1710</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D1336E-B573-413F-AF1A-85B863B116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3.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4.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5.xml><?xml version="1.0" encoding="utf-8"?>
<ds:datastoreItem xmlns:ds="http://schemas.openxmlformats.org/officeDocument/2006/customXml" ds:itemID="{5E45D529-5E1D-4284-8B80-40D45C2BFB73}">
  <ds:schemaRefs>
    <ds:schemaRef ds:uri="http://schemas.microsoft.com/office/2006/metadata/properties"/>
    <ds:schemaRef ds:uri="http://schemas.microsoft.com/office/infopath/2007/PartnerControls"/>
    <ds:schemaRef ds:uri="c06861ca-3f08-4d07-bff7-bb15bac121f4"/>
  </ds:schemaRefs>
</ds:datastoreItem>
</file>

<file path=customXml/itemProps6.xml><?xml version="1.0" encoding="utf-8"?>
<ds:datastoreItem xmlns:ds="http://schemas.openxmlformats.org/officeDocument/2006/customXml" ds:itemID="{8C9FD730-4E2A-4F1A-A105-228D40843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2051</Words>
  <Characters>11697</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13721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cp:lastModifiedBy>Qualcomm User</cp:lastModifiedBy>
  <cp:revision>2</cp:revision>
  <cp:lastPrinted>2010-10-04T23:31:00Z</cp:lastPrinted>
  <dcterms:created xsi:type="dcterms:W3CDTF">2017-11-18T03:21:00Z</dcterms:created>
  <dcterms:modified xsi:type="dcterms:W3CDTF">2017-11-18T03:21:00Z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874677357</vt:i4>
  </property>
  <property fmtid="{D5CDD505-2E9C-101B-9397-08002B2CF9AE}" pid="3" name="_NewReviewCycle">
    <vt:lpwstr/>
  </property>
  <property fmtid="{D5CDD505-2E9C-101B-9397-08002B2CF9AE}" pid="4" name="_EmailSubject">
    <vt:lpwstr>HARQ Sharing</vt:lpwstr>
  </property>
  <property fmtid="{D5CDD505-2E9C-101B-9397-08002B2CF9AE}" pid="5" name="_AuthorEmail">
    <vt:lpwstr>wenshuz@qti.qualcomm.com</vt:lpwstr>
  </property>
  <property fmtid="{D5CDD505-2E9C-101B-9397-08002B2CF9AE}" pid="6" name="_AuthorEmailDisplayName">
    <vt:lpwstr>Wenshu Zhang</vt:lpwstr>
  </property>
  <property fmtid="{D5CDD505-2E9C-101B-9397-08002B2CF9AE}" pid="7" name="_dlc_DocId">
    <vt:lpwstr>5ACTRJNS4X5K-3-3586</vt:lpwstr>
  </property>
  <property fmtid="{D5CDD505-2E9C-101B-9397-08002B2CF9AE}" pid="8" name="_dlc_DocIdItemGuid">
    <vt:lpwstr>719254f7-afb9-4fcc-bc82-94c1039d0c32</vt:lpwstr>
  </property>
  <property fmtid="{D5CDD505-2E9C-101B-9397-08002B2CF9AE}" pid="9" name="_dlc_DocIdUrl">
    <vt:lpwstr>https://projects.qualcomm.com/sites/espresso/_layouts/15/DocIdRedir.aspx?ID=5ACTRJNS4X5K-3-3586, 5ACTRJNS4X5K-3-3586</vt:lpwstr>
  </property>
  <property fmtid="{D5CDD505-2E9C-101B-9397-08002B2CF9AE}" pid="10" name="ContentTypeId">
    <vt:lpwstr>0x010100BC29BFD66497B943AA3B102F0C7B1355</vt:lpwstr>
  </property>
  <property fmtid="{D5CDD505-2E9C-101B-9397-08002B2CF9AE}" pid="11" name="_PreviousAdHocReviewCycleID">
    <vt:i4>7280126</vt:i4>
  </property>
</Properties>
</file>